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3.xml" ContentType="application/vnd.openxmlformats-officedocument.wordprocessingml.head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EE14" w14:textId="383E71BF" w:rsidR="003E3DD6" w:rsidRDefault="003E3DD6" w:rsidP="00047FD7">
      <w:pPr>
        <w:pStyle w:val="ReportTitle"/>
      </w:pPr>
      <w:r w:rsidRPr="00CD7DA7">
        <w:rPr>
          <w:rFonts w:ascii="Times New Roman" w:hAnsi="Times New Roman"/>
          <w:noProof/>
          <w:lang w:bidi="ar-SA"/>
        </w:rPr>
        <w:drawing>
          <wp:inline distT="0" distB="0" distL="0" distR="0" wp14:anchorId="5953CB97" wp14:editId="31828159">
            <wp:extent cx="6400800" cy="1038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SAC_rust-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76B80" w14:textId="77777777" w:rsidR="003E3DD6" w:rsidRDefault="003E3DD6" w:rsidP="00047FD7">
      <w:pPr>
        <w:pStyle w:val="ReportTitle"/>
      </w:pPr>
    </w:p>
    <w:p w14:paraId="4E9E74D8" w14:textId="77777777" w:rsidR="00BE165A" w:rsidRDefault="00BE165A" w:rsidP="00047FD7">
      <w:pPr>
        <w:pStyle w:val="ReportTitle"/>
      </w:pPr>
    </w:p>
    <w:p w14:paraId="52300CDE" w14:textId="0D3B9FA9" w:rsidR="00DE3552" w:rsidRDefault="00460B14" w:rsidP="00047FD7">
      <w:pPr>
        <w:pStyle w:val="ReportTitle"/>
      </w:pPr>
      <w:r>
        <w:t xml:space="preserve">Wyoming Alcohol and Tobacco </w:t>
      </w:r>
      <w:r w:rsidR="00562651">
        <w:t xml:space="preserve">Sales </w:t>
      </w:r>
      <w:r>
        <w:t>Compliance Checks, 20</w:t>
      </w:r>
      <w:r w:rsidR="007D5FB2">
        <w:t>1</w:t>
      </w:r>
      <w:r w:rsidR="00C575F7">
        <w:t>7</w:t>
      </w:r>
    </w:p>
    <w:p w14:paraId="186A837B" w14:textId="77777777" w:rsidR="00DE3552" w:rsidRDefault="00DE3552" w:rsidP="00047FD7"/>
    <w:p w14:paraId="4942CF90" w14:textId="77777777" w:rsidR="00A207EB" w:rsidRDefault="00A207EB" w:rsidP="00047FD7"/>
    <w:p w14:paraId="2321A4E6" w14:textId="77777777" w:rsidR="00047FD7" w:rsidRDefault="00047FD7" w:rsidP="00047FD7"/>
    <w:p w14:paraId="5CBFE05F" w14:textId="49C0202C" w:rsidR="00A207EB" w:rsidRDefault="00A207EB" w:rsidP="00A207EB">
      <w:pPr>
        <w:pStyle w:val="ReportNumber"/>
      </w:pPr>
      <w:r>
        <w:t xml:space="preserve">WYSAC Technical Report No. </w:t>
      </w:r>
      <w:r w:rsidR="00460B14">
        <w:t>SRC</w:t>
      </w:r>
      <w:r w:rsidR="00460B14" w:rsidRPr="001F2248">
        <w:t>-</w:t>
      </w:r>
      <w:r w:rsidR="008B4D2E" w:rsidRPr="001F2248">
        <w:t>1</w:t>
      </w:r>
      <w:r w:rsidR="001F2248" w:rsidRPr="001F2248">
        <w:t>708</w:t>
      </w:r>
    </w:p>
    <w:p w14:paraId="480F8E07" w14:textId="77777777" w:rsidR="00A207EB" w:rsidRDefault="00A207EB" w:rsidP="00A207EB">
      <w:pPr>
        <w:pStyle w:val="ReportNumber"/>
      </w:pPr>
    </w:p>
    <w:p w14:paraId="17C88381" w14:textId="0289F36E" w:rsidR="00A207EB" w:rsidRDefault="00022403" w:rsidP="00A207EB">
      <w:pPr>
        <w:pStyle w:val="ReportNumber"/>
      </w:pPr>
      <w:r>
        <w:t>December</w:t>
      </w:r>
      <w:r w:rsidR="00264050">
        <w:t>, 201</w:t>
      </w:r>
      <w:r w:rsidR="00C575F7">
        <w:t>7</w:t>
      </w:r>
    </w:p>
    <w:p w14:paraId="0269A0FE" w14:textId="77777777" w:rsidR="00AC03F3" w:rsidRDefault="00AC03F3" w:rsidP="00A207EB">
      <w:pPr>
        <w:pStyle w:val="ReportNumber"/>
      </w:pPr>
    </w:p>
    <w:p w14:paraId="2951DB6F" w14:textId="77777777" w:rsidR="007E1DD1" w:rsidRDefault="007E1DD1" w:rsidP="00A207EB">
      <w:pPr>
        <w:pStyle w:val="ReportNumber"/>
      </w:pPr>
    </w:p>
    <w:p w14:paraId="445BFCC8" w14:textId="77777777" w:rsidR="002C4AEA" w:rsidRDefault="002C4AEA" w:rsidP="00654EF2">
      <w:pPr>
        <w:pStyle w:val="TitlePageTitle"/>
        <w:sectPr w:rsidR="002C4AEA" w:rsidSect="003E3DD6">
          <w:headerReference w:type="default" r:id="rId9"/>
          <w:type w:val="continuous"/>
          <w:pgSz w:w="12240" w:h="15840" w:code="1"/>
          <w:pgMar w:top="1440" w:right="1080" w:bottom="1440" w:left="1440" w:header="720" w:footer="720" w:gutter="144"/>
          <w:cols w:space="720"/>
          <w:vAlign w:val="center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F57FF" w14:paraId="6B506023" w14:textId="77777777" w:rsidTr="00853F79">
        <w:tc>
          <w:tcPr>
            <w:tcW w:w="9576" w:type="dxa"/>
          </w:tcPr>
          <w:p w14:paraId="17FD4BC4" w14:textId="5EE6B121" w:rsidR="00AF57FF" w:rsidRDefault="00460B14" w:rsidP="00264050">
            <w:pPr>
              <w:pStyle w:val="TitlePageTitle"/>
            </w:pPr>
            <w:bookmarkStart w:id="0" w:name="_Toc162230398"/>
            <w:r>
              <w:lastRenderedPageBreak/>
              <w:t xml:space="preserve">Wyoming Alcohol and Tobacco </w:t>
            </w:r>
            <w:r w:rsidR="00562651">
              <w:t xml:space="preserve">Sales </w:t>
            </w:r>
            <w:r>
              <w:t>Compliance Checks, 2</w:t>
            </w:r>
            <w:bookmarkEnd w:id="0"/>
            <w:r w:rsidR="00BA52E3">
              <w:t>01</w:t>
            </w:r>
            <w:r w:rsidR="00C575F7">
              <w:t>7</w:t>
            </w:r>
          </w:p>
        </w:tc>
      </w:tr>
      <w:tr w:rsidR="00AF57FF" w:rsidRPr="00853F79" w14:paraId="5E19F976" w14:textId="77777777" w:rsidTr="00853F79">
        <w:tc>
          <w:tcPr>
            <w:tcW w:w="9576" w:type="dxa"/>
          </w:tcPr>
          <w:p w14:paraId="058518ED" w14:textId="77777777" w:rsidR="00AF57FF" w:rsidRDefault="00AF57FF" w:rsidP="00AF57FF"/>
        </w:tc>
      </w:tr>
      <w:tr w:rsidR="00AF57FF" w:rsidRPr="00853F79" w14:paraId="7D5C1C3C" w14:textId="77777777" w:rsidTr="00B60238">
        <w:trPr>
          <w:trHeight w:val="333"/>
        </w:trPr>
        <w:tc>
          <w:tcPr>
            <w:tcW w:w="9576" w:type="dxa"/>
          </w:tcPr>
          <w:p w14:paraId="25841B01" w14:textId="77777777" w:rsidR="00AF57FF" w:rsidRDefault="00AF57FF" w:rsidP="00AF57FF">
            <w:pPr>
              <w:pStyle w:val="Authors"/>
            </w:pPr>
            <w:r>
              <w:t>By</w:t>
            </w:r>
          </w:p>
          <w:p w14:paraId="580CC7DC" w14:textId="6ECC6BA4" w:rsidR="00AF57FF" w:rsidRDefault="00460B14" w:rsidP="00660C2F">
            <w:pPr>
              <w:pStyle w:val="Authors"/>
            </w:pPr>
            <w:r>
              <w:t>W. Trent Holder,</w:t>
            </w:r>
            <w:r w:rsidR="00264050">
              <w:t xml:space="preserve"> M.A.,</w:t>
            </w:r>
            <w:r w:rsidR="00034DC4">
              <w:t xml:space="preserve"> </w:t>
            </w:r>
            <w:r>
              <w:t xml:space="preserve">Research </w:t>
            </w:r>
            <w:r w:rsidR="00660C2F">
              <w:t>Associate</w:t>
            </w:r>
          </w:p>
        </w:tc>
      </w:tr>
      <w:tr w:rsidR="00AF57FF" w:rsidRPr="00853F79" w14:paraId="04F333D3" w14:textId="77777777" w:rsidTr="00853F79">
        <w:tc>
          <w:tcPr>
            <w:tcW w:w="9576" w:type="dxa"/>
          </w:tcPr>
          <w:p w14:paraId="51B4176B" w14:textId="77777777" w:rsidR="00AF57FF" w:rsidRDefault="00AF57FF" w:rsidP="00AF57FF">
            <w:pPr>
              <w:pStyle w:val="Authors"/>
            </w:pPr>
          </w:p>
        </w:tc>
      </w:tr>
      <w:tr w:rsidR="00AF57FF" w:rsidRPr="00853F79" w14:paraId="77C394C4" w14:textId="77777777" w:rsidTr="00853F79">
        <w:tc>
          <w:tcPr>
            <w:tcW w:w="9576" w:type="dxa"/>
          </w:tcPr>
          <w:p w14:paraId="0117D1DD" w14:textId="22436058" w:rsidR="0006753D" w:rsidRDefault="0006753D" w:rsidP="00AF57FF">
            <w:pPr>
              <w:pStyle w:val="Authors"/>
            </w:pPr>
          </w:p>
          <w:p w14:paraId="09DAC535" w14:textId="77777777" w:rsidR="00AF57FF" w:rsidRPr="008B4D2E" w:rsidRDefault="00AF57FF" w:rsidP="00AF57FF">
            <w:pPr>
              <w:pStyle w:val="Authors"/>
            </w:pPr>
            <w:r w:rsidRPr="008B4D2E">
              <w:t>With the assistance of</w:t>
            </w:r>
          </w:p>
          <w:p w14:paraId="28CC4564" w14:textId="5B5883D1" w:rsidR="00660C2F" w:rsidRDefault="00660C2F" w:rsidP="00660C2F">
            <w:pPr>
              <w:pStyle w:val="Authors"/>
            </w:pPr>
            <w:r w:rsidRPr="008B4D2E">
              <w:t>Bistra Anatchkova, Ph.D., Survey Research Manager</w:t>
            </w:r>
          </w:p>
          <w:p w14:paraId="09CB58D0" w14:textId="77777777" w:rsidR="00B60238" w:rsidRDefault="00B60238" w:rsidP="0071591B">
            <w:pPr>
              <w:pStyle w:val="Authors"/>
            </w:pPr>
          </w:p>
          <w:p w14:paraId="591AE4AD" w14:textId="77777777" w:rsidR="0071591B" w:rsidRDefault="0071591B" w:rsidP="0071591B">
            <w:pPr>
              <w:pStyle w:val="Authors"/>
            </w:pPr>
          </w:p>
        </w:tc>
      </w:tr>
      <w:tr w:rsidR="00AF57FF" w:rsidRPr="00853F79" w14:paraId="193243C7" w14:textId="77777777" w:rsidTr="00853F79">
        <w:tc>
          <w:tcPr>
            <w:tcW w:w="9576" w:type="dxa"/>
          </w:tcPr>
          <w:p w14:paraId="252F0DD4" w14:textId="77777777" w:rsidR="00AF57FF" w:rsidRDefault="00AF57FF" w:rsidP="00AF57FF">
            <w:pPr>
              <w:pStyle w:val="Authors"/>
            </w:pPr>
          </w:p>
        </w:tc>
      </w:tr>
      <w:tr w:rsidR="00AF57FF" w:rsidRPr="00AC32F0" w14:paraId="4A04D39B" w14:textId="77777777" w:rsidTr="00853F79">
        <w:tc>
          <w:tcPr>
            <w:tcW w:w="9576" w:type="dxa"/>
          </w:tcPr>
          <w:p w14:paraId="385EE0E4" w14:textId="77777777" w:rsidR="0006753D" w:rsidRDefault="0006753D" w:rsidP="00AF57FF">
            <w:pPr>
              <w:pStyle w:val="ContactInfo"/>
              <w:rPr>
                <w:b/>
              </w:rPr>
            </w:pPr>
          </w:p>
          <w:p w14:paraId="2AE65C20" w14:textId="77777777" w:rsidR="00AF57FF" w:rsidRPr="00853F79" w:rsidRDefault="00AF57FF" w:rsidP="00AF57FF">
            <w:pPr>
              <w:pStyle w:val="ContactInfo"/>
              <w:rPr>
                <w:b/>
              </w:rPr>
            </w:pPr>
            <w:r w:rsidRPr="00853F79">
              <w:rPr>
                <w:b/>
              </w:rPr>
              <w:t>Wyoming Survey &amp; Analysis Center</w:t>
            </w:r>
          </w:p>
          <w:p w14:paraId="62691489" w14:textId="77777777" w:rsidR="00AC32F0" w:rsidRDefault="00AC32F0" w:rsidP="00AC32F0">
            <w:pPr>
              <w:pStyle w:val="ContactInfo"/>
            </w:pP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Wyoming</w:t>
                </w:r>
              </w:smartTag>
            </w:smartTag>
          </w:p>
          <w:p w14:paraId="7445AE99" w14:textId="77777777" w:rsidR="00AC32F0" w:rsidRDefault="00AC32F0" w:rsidP="00AC32F0">
            <w:pPr>
              <w:pStyle w:val="ContactInfo"/>
            </w:pPr>
            <w:r>
              <w:t>1000 E. University Ave, Dept. 3925</w:t>
            </w:r>
          </w:p>
          <w:p w14:paraId="304813D3" w14:textId="77777777" w:rsidR="00AC32F0" w:rsidRPr="00AC32F0" w:rsidRDefault="00AC32F0" w:rsidP="00AC32F0">
            <w:pPr>
              <w:pStyle w:val="ContactInfo"/>
            </w:pPr>
            <w:r w:rsidRPr="00AC32F0">
              <w:t>Laramie, WY 82071</w:t>
            </w:r>
          </w:p>
          <w:p w14:paraId="582D6363" w14:textId="77777777" w:rsidR="00AC32F0" w:rsidRPr="00AC32F0" w:rsidRDefault="00AC32F0" w:rsidP="00AC32F0">
            <w:pPr>
              <w:pStyle w:val="ContactInfo"/>
            </w:pPr>
            <w:r w:rsidRPr="00AC32F0">
              <w:t>(307) 766-2189 • wysac@uwyo.edu</w:t>
            </w:r>
          </w:p>
          <w:p w14:paraId="604AAFB8" w14:textId="77777777" w:rsidR="00AC32F0" w:rsidRPr="00AC32F0" w:rsidRDefault="00BA52E3" w:rsidP="00AC32F0">
            <w:pPr>
              <w:pStyle w:val="ContactInfo"/>
            </w:pPr>
            <w:r>
              <w:t>http://</w:t>
            </w:r>
            <w:r w:rsidR="0092705E">
              <w:t>wysac.uwyo.edu</w:t>
            </w:r>
          </w:p>
          <w:p w14:paraId="2C440F1F" w14:textId="77777777" w:rsidR="00AF57FF" w:rsidRPr="00AC32F0" w:rsidRDefault="00AF57FF" w:rsidP="00AF57FF">
            <w:pPr>
              <w:pStyle w:val="ContactInfo"/>
            </w:pPr>
          </w:p>
        </w:tc>
      </w:tr>
      <w:tr w:rsidR="00AF57FF" w:rsidRPr="00AC32F0" w14:paraId="6BE77BC9" w14:textId="77777777" w:rsidTr="00853F79">
        <w:trPr>
          <w:trHeight w:val="387"/>
        </w:trPr>
        <w:tc>
          <w:tcPr>
            <w:tcW w:w="9576" w:type="dxa"/>
          </w:tcPr>
          <w:p w14:paraId="3636B5C1" w14:textId="77777777" w:rsidR="00AF57FF" w:rsidRPr="00AC32F0" w:rsidRDefault="00AF57FF" w:rsidP="00AF57FF"/>
        </w:tc>
      </w:tr>
      <w:tr w:rsidR="00AF57FF" w:rsidRPr="00853F79" w14:paraId="425004D1" w14:textId="77777777" w:rsidTr="00853F79">
        <w:tc>
          <w:tcPr>
            <w:tcW w:w="9576" w:type="dxa"/>
          </w:tcPr>
          <w:p w14:paraId="2A84C395" w14:textId="77777777" w:rsidR="00AF57FF" w:rsidRPr="00AF57FF" w:rsidRDefault="00AF57FF" w:rsidP="00AF57FF">
            <w:pPr>
              <w:pStyle w:val="SecondaryID"/>
            </w:pPr>
          </w:p>
        </w:tc>
      </w:tr>
      <w:tr w:rsidR="00AF57FF" w:rsidRPr="00853F79" w14:paraId="731468D1" w14:textId="77777777" w:rsidTr="00853F79">
        <w:trPr>
          <w:trHeight w:val="1313"/>
        </w:trPr>
        <w:tc>
          <w:tcPr>
            <w:tcW w:w="9576" w:type="dxa"/>
          </w:tcPr>
          <w:p w14:paraId="12D5B007" w14:textId="77777777" w:rsidR="00485252" w:rsidRDefault="00485252" w:rsidP="00AF57FF">
            <w:pPr>
              <w:pStyle w:val="SecondaryID"/>
            </w:pPr>
          </w:p>
          <w:p w14:paraId="2ACEB7D0" w14:textId="77777777" w:rsidR="008E7C75" w:rsidRDefault="008E7C75" w:rsidP="00AF57FF">
            <w:pPr>
              <w:pStyle w:val="SecondaryID"/>
            </w:pPr>
          </w:p>
          <w:p w14:paraId="576E740A" w14:textId="77777777" w:rsidR="008E7C75" w:rsidRDefault="008E7C75" w:rsidP="00AF57FF">
            <w:pPr>
              <w:pStyle w:val="SecondaryID"/>
            </w:pPr>
          </w:p>
          <w:p w14:paraId="4366766E" w14:textId="77777777" w:rsidR="008E7C75" w:rsidRDefault="008E7C75" w:rsidP="00AF57FF">
            <w:pPr>
              <w:pStyle w:val="SecondaryID"/>
            </w:pPr>
          </w:p>
          <w:p w14:paraId="4CDA28C9" w14:textId="77777777" w:rsidR="008E7C75" w:rsidRDefault="008E7C75" w:rsidP="00AF57FF">
            <w:pPr>
              <w:pStyle w:val="SecondaryID"/>
            </w:pPr>
          </w:p>
          <w:p w14:paraId="685B8427" w14:textId="77777777" w:rsidR="005A57EE" w:rsidRDefault="005A57EE" w:rsidP="00AF57FF">
            <w:pPr>
              <w:pStyle w:val="SecondaryID"/>
            </w:pPr>
          </w:p>
          <w:p w14:paraId="19E9C3E8" w14:textId="77777777" w:rsidR="005A57EE" w:rsidRDefault="005A57EE" w:rsidP="00AF57FF">
            <w:pPr>
              <w:pStyle w:val="SecondaryID"/>
            </w:pPr>
          </w:p>
          <w:p w14:paraId="380D58CC" w14:textId="77777777" w:rsidR="008E7C75" w:rsidRDefault="008E7C75" w:rsidP="00AF57FF">
            <w:pPr>
              <w:pStyle w:val="SecondaryID"/>
            </w:pPr>
          </w:p>
        </w:tc>
      </w:tr>
      <w:tr w:rsidR="00AF57FF" w:rsidRPr="00853F79" w14:paraId="2530A5D5" w14:textId="77777777" w:rsidTr="00853F79">
        <w:tc>
          <w:tcPr>
            <w:tcW w:w="9576" w:type="dxa"/>
          </w:tcPr>
          <w:p w14:paraId="71060A8A" w14:textId="77777777" w:rsidR="00485252" w:rsidRDefault="00485252" w:rsidP="00AC32F0">
            <w:pPr>
              <w:pStyle w:val="Citation"/>
            </w:pPr>
          </w:p>
          <w:p w14:paraId="0FCF50A3" w14:textId="356958D8" w:rsidR="00AC32F0" w:rsidRPr="00E4621B" w:rsidRDefault="00AC32F0" w:rsidP="00AC32F0">
            <w:pPr>
              <w:pStyle w:val="Citation"/>
            </w:pPr>
            <w:r w:rsidRPr="00E4621B">
              <w:t>Citation for this document:</w:t>
            </w:r>
            <w:r w:rsidR="007D5FB2">
              <w:t xml:space="preserve"> </w:t>
            </w:r>
            <w:r>
              <w:t>WYSAC (20</w:t>
            </w:r>
            <w:r w:rsidR="00BA52E3">
              <w:t>1</w:t>
            </w:r>
            <w:r w:rsidR="00C575F7">
              <w:t>7</w:t>
            </w:r>
            <w:r>
              <w:t xml:space="preserve">) </w:t>
            </w:r>
            <w:r w:rsidR="00485252">
              <w:rPr>
                <w:i/>
              </w:rPr>
              <w:t xml:space="preserve">Wyoming Alcohol and Tobacco </w:t>
            </w:r>
            <w:r w:rsidR="004079BA">
              <w:rPr>
                <w:i/>
              </w:rPr>
              <w:t xml:space="preserve">Sales </w:t>
            </w:r>
            <w:r w:rsidR="00485252">
              <w:rPr>
                <w:i/>
              </w:rPr>
              <w:t>Compliance Checks, 20</w:t>
            </w:r>
            <w:r w:rsidR="00BA52E3">
              <w:rPr>
                <w:i/>
              </w:rPr>
              <w:t>1</w:t>
            </w:r>
            <w:r w:rsidR="00C575F7">
              <w:rPr>
                <w:i/>
              </w:rPr>
              <w:t>7</w:t>
            </w:r>
            <w:r>
              <w:rPr>
                <w:i/>
              </w:rPr>
              <w:t xml:space="preserve">, </w:t>
            </w:r>
            <w:r>
              <w:t xml:space="preserve">by </w:t>
            </w:r>
            <w:r w:rsidR="00485252">
              <w:t>Holder, W. T.</w:t>
            </w:r>
            <w:r w:rsidRPr="00E4621B">
              <w:t xml:space="preserve"> </w:t>
            </w:r>
            <w:r>
              <w:t>(</w:t>
            </w:r>
            <w:r w:rsidRPr="00E4621B">
              <w:t xml:space="preserve">WYSAC Technical </w:t>
            </w:r>
            <w:r w:rsidRPr="006C1DE4">
              <w:t xml:space="preserve">Report No. </w:t>
            </w:r>
            <w:r w:rsidR="00485252" w:rsidRPr="006C1DE4">
              <w:t>SRC</w:t>
            </w:r>
            <w:r w:rsidRPr="006C1DE4">
              <w:t>-</w:t>
            </w:r>
            <w:r w:rsidR="00512062">
              <w:t>1708</w:t>
            </w:r>
            <w:r w:rsidRPr="006C1DE4">
              <w:t>). Laramie</w:t>
            </w:r>
            <w:r w:rsidR="001B1A00" w:rsidRPr="006C1DE4">
              <w:t>, WY</w:t>
            </w:r>
            <w:r w:rsidRPr="006C1DE4">
              <w:t>: Wyoming Survey &amp; Analysis Center, University of Wyoming.</w:t>
            </w:r>
          </w:p>
          <w:p w14:paraId="1F554479" w14:textId="77777777" w:rsidR="00AF57FF" w:rsidRDefault="00AF57FF" w:rsidP="00AC32F0">
            <w:pPr>
              <w:pStyle w:val="Citation"/>
            </w:pPr>
          </w:p>
        </w:tc>
      </w:tr>
      <w:tr w:rsidR="00AF57FF" w:rsidRPr="00853F79" w14:paraId="55772C96" w14:textId="77777777" w:rsidTr="00AC32F0">
        <w:trPr>
          <w:trHeight w:val="603"/>
        </w:trPr>
        <w:tc>
          <w:tcPr>
            <w:tcW w:w="9576" w:type="dxa"/>
          </w:tcPr>
          <w:p w14:paraId="5656A7FB" w14:textId="77777777" w:rsidR="00AF57FF" w:rsidRDefault="00AF57FF" w:rsidP="00AF57FF">
            <w:pPr>
              <w:pStyle w:val="Citation"/>
            </w:pPr>
          </w:p>
        </w:tc>
      </w:tr>
      <w:tr w:rsidR="00AF57FF" w:rsidRPr="00853F79" w14:paraId="21BF042C" w14:textId="77777777" w:rsidTr="00853F79">
        <w:tc>
          <w:tcPr>
            <w:tcW w:w="9576" w:type="dxa"/>
          </w:tcPr>
          <w:p w14:paraId="57F65F9E" w14:textId="5705CA5D" w:rsidR="00AF57FF" w:rsidRDefault="00AF57FF" w:rsidP="00264050">
            <w:pPr>
              <w:pStyle w:val="Citation"/>
            </w:pPr>
            <w:r>
              <w:t>Short reference:</w:t>
            </w:r>
            <w:r w:rsidRPr="00E4621B">
              <w:t xml:space="preserve"> </w:t>
            </w:r>
            <w:r>
              <w:t>WYSAC (</w:t>
            </w:r>
            <w:r w:rsidR="00485252">
              <w:t>20</w:t>
            </w:r>
            <w:r w:rsidR="00BA52E3">
              <w:t>1</w:t>
            </w:r>
            <w:r w:rsidR="00C575F7">
              <w:t>7</w:t>
            </w:r>
            <w:r>
              <w:t xml:space="preserve">), </w:t>
            </w:r>
            <w:bookmarkStart w:id="1" w:name="OLE_LINK1"/>
            <w:bookmarkStart w:id="2" w:name="OLE_LINK2"/>
            <w:r w:rsidR="00485252">
              <w:rPr>
                <w:i/>
              </w:rPr>
              <w:t xml:space="preserve">Alcohol and Tobacco </w:t>
            </w:r>
            <w:r w:rsidR="004079BA">
              <w:rPr>
                <w:i/>
              </w:rPr>
              <w:t xml:space="preserve">Sales </w:t>
            </w:r>
            <w:r w:rsidR="00485252">
              <w:rPr>
                <w:i/>
              </w:rPr>
              <w:t>Compliance</w:t>
            </w:r>
            <w:bookmarkEnd w:id="1"/>
            <w:bookmarkEnd w:id="2"/>
            <w:r>
              <w:t>.</w:t>
            </w:r>
          </w:p>
        </w:tc>
      </w:tr>
      <w:tr w:rsidR="00AF57FF" w:rsidRPr="00853F79" w14:paraId="4F9E1EA0" w14:textId="77777777" w:rsidTr="00AC32F0">
        <w:trPr>
          <w:trHeight w:val="522"/>
        </w:trPr>
        <w:tc>
          <w:tcPr>
            <w:tcW w:w="9576" w:type="dxa"/>
          </w:tcPr>
          <w:p w14:paraId="380FC24F" w14:textId="77777777" w:rsidR="00AF57FF" w:rsidRDefault="00AF57FF" w:rsidP="00AF57FF">
            <w:pPr>
              <w:pStyle w:val="Citation"/>
            </w:pPr>
          </w:p>
        </w:tc>
      </w:tr>
      <w:tr w:rsidR="00AF57FF" w:rsidRPr="00853F79" w14:paraId="0FA6109D" w14:textId="77777777" w:rsidTr="00853F79">
        <w:tc>
          <w:tcPr>
            <w:tcW w:w="9576" w:type="dxa"/>
          </w:tcPr>
          <w:p w14:paraId="0009B65F" w14:textId="7E964BBC" w:rsidR="00AF57FF" w:rsidRDefault="00AF57FF" w:rsidP="00264050">
            <w:pPr>
              <w:pStyle w:val="Copyright"/>
            </w:pPr>
            <w:r w:rsidRPr="00853F79">
              <w:rPr>
                <w:rFonts w:cs="Arial"/>
              </w:rPr>
              <w:t>©</w:t>
            </w:r>
            <w:r>
              <w:t xml:space="preserve"> Wyoming Survey &amp; Analysis Center, </w:t>
            </w:r>
            <w:r w:rsidR="00485252">
              <w:t>20</w:t>
            </w:r>
            <w:r w:rsidR="00BA52E3">
              <w:t>1</w:t>
            </w:r>
            <w:r w:rsidR="00C575F7">
              <w:t>7</w:t>
            </w:r>
            <w:r>
              <w:t>.</w:t>
            </w:r>
          </w:p>
        </w:tc>
      </w:tr>
    </w:tbl>
    <w:p w14:paraId="70D8100E" w14:textId="77777777" w:rsidR="00087DEA" w:rsidRDefault="00087DEA" w:rsidP="00087DEA"/>
    <w:p w14:paraId="2BECD959" w14:textId="77777777" w:rsidR="00AF57FF" w:rsidRDefault="00AF57FF" w:rsidP="00F2501D">
      <w:pPr>
        <w:pStyle w:val="TOCTitle"/>
        <w:sectPr w:rsidR="00AF57FF" w:rsidSect="00C11CE9"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85B0120" w14:textId="77777777" w:rsidR="00A124EA" w:rsidRPr="00AE6D93" w:rsidRDefault="00A124EA" w:rsidP="00BA52E3">
      <w:pPr>
        <w:pStyle w:val="BodyText"/>
      </w:pPr>
    </w:p>
    <w:p w14:paraId="164701A5" w14:textId="77777777" w:rsidR="003B532B" w:rsidRPr="00AE6D93" w:rsidRDefault="003D050D" w:rsidP="00F2501D">
      <w:pPr>
        <w:pStyle w:val="TOCTitle"/>
      </w:pPr>
      <w:r w:rsidRPr="00AE6D93">
        <w:t>Table of Contents</w:t>
      </w:r>
    </w:p>
    <w:p w14:paraId="21AC754B" w14:textId="393086FB" w:rsidR="0028046C" w:rsidRPr="0028046C" w:rsidRDefault="003A70B0">
      <w:pPr>
        <w:pStyle w:val="TOC1"/>
        <w:rPr>
          <w:rFonts w:ascii="Garamond" w:eastAsiaTheme="minorEastAsia" w:hAnsi="Garamond" w:cstheme="minorBidi"/>
          <w:sz w:val="22"/>
          <w:szCs w:val="22"/>
          <w:lang w:bidi="ar-SA"/>
        </w:rPr>
      </w:pPr>
      <w:r w:rsidRPr="0028046C">
        <w:rPr>
          <w:rFonts w:ascii="Garamond" w:hAnsi="Garamond"/>
        </w:rPr>
        <w:fldChar w:fldCharType="begin"/>
      </w:r>
      <w:r w:rsidR="00853F79" w:rsidRPr="0028046C">
        <w:rPr>
          <w:rFonts w:ascii="Garamond" w:hAnsi="Garamond"/>
        </w:rPr>
        <w:instrText xml:space="preserve"> TOC \o "2-3" \h \z \t "Heading 1,1" </w:instrText>
      </w:r>
      <w:r w:rsidRPr="0028046C">
        <w:rPr>
          <w:rFonts w:ascii="Garamond" w:hAnsi="Garamond"/>
        </w:rPr>
        <w:fldChar w:fldCharType="separate"/>
      </w:r>
      <w:hyperlink w:anchor="_Toc502600909" w:history="1">
        <w:r w:rsidR="0028046C" w:rsidRPr="0028046C">
          <w:rPr>
            <w:rStyle w:val="Hyperlink"/>
            <w:rFonts w:ascii="Garamond" w:hAnsi="Garamond"/>
          </w:rPr>
          <w:t>1.</w:t>
        </w:r>
        <w:r w:rsidR="0028046C" w:rsidRPr="0028046C">
          <w:rPr>
            <w:rFonts w:ascii="Garamond" w:eastAsiaTheme="minorEastAsia" w:hAnsi="Garamond" w:cstheme="minorBidi"/>
            <w:sz w:val="22"/>
            <w:szCs w:val="22"/>
            <w:lang w:bidi="ar-SA"/>
          </w:rPr>
          <w:tab/>
        </w:r>
        <w:r w:rsidR="0028046C" w:rsidRPr="0028046C">
          <w:rPr>
            <w:rStyle w:val="Hyperlink"/>
            <w:rFonts w:ascii="Garamond" w:hAnsi="Garamond"/>
          </w:rPr>
          <w:t>Summary</w:t>
        </w:r>
        <w:r w:rsidR="0028046C" w:rsidRPr="0028046C">
          <w:rPr>
            <w:rFonts w:ascii="Garamond" w:hAnsi="Garamond"/>
            <w:webHidden/>
          </w:rPr>
          <w:tab/>
        </w:r>
        <w:r w:rsidR="0028046C" w:rsidRPr="0028046C">
          <w:rPr>
            <w:rFonts w:ascii="Garamond" w:hAnsi="Garamond"/>
            <w:webHidden/>
          </w:rPr>
          <w:fldChar w:fldCharType="begin"/>
        </w:r>
        <w:r w:rsidR="0028046C" w:rsidRPr="0028046C">
          <w:rPr>
            <w:rFonts w:ascii="Garamond" w:hAnsi="Garamond"/>
            <w:webHidden/>
          </w:rPr>
          <w:instrText xml:space="preserve"> PAGEREF _Toc502600909 \h </w:instrText>
        </w:r>
        <w:r w:rsidR="0028046C" w:rsidRPr="0028046C">
          <w:rPr>
            <w:rFonts w:ascii="Garamond" w:hAnsi="Garamond"/>
            <w:webHidden/>
          </w:rPr>
        </w:r>
        <w:r w:rsidR="0028046C" w:rsidRPr="0028046C">
          <w:rPr>
            <w:rFonts w:ascii="Garamond" w:hAnsi="Garamond"/>
            <w:webHidden/>
          </w:rPr>
          <w:fldChar w:fldCharType="separate"/>
        </w:r>
        <w:r w:rsidR="00E41573">
          <w:rPr>
            <w:rFonts w:ascii="Garamond" w:hAnsi="Garamond"/>
            <w:webHidden/>
          </w:rPr>
          <w:t>4</w:t>
        </w:r>
        <w:r w:rsidR="0028046C" w:rsidRPr="0028046C">
          <w:rPr>
            <w:rFonts w:ascii="Garamond" w:hAnsi="Garamond"/>
            <w:webHidden/>
          </w:rPr>
          <w:fldChar w:fldCharType="end"/>
        </w:r>
      </w:hyperlink>
    </w:p>
    <w:p w14:paraId="701C9323" w14:textId="00C75C4A" w:rsidR="0028046C" w:rsidRPr="0028046C" w:rsidRDefault="005F5812">
      <w:pPr>
        <w:pStyle w:val="TOC1"/>
        <w:rPr>
          <w:rFonts w:ascii="Garamond" w:eastAsiaTheme="minorEastAsia" w:hAnsi="Garamond" w:cstheme="minorBidi"/>
          <w:sz w:val="22"/>
          <w:szCs w:val="22"/>
          <w:lang w:bidi="ar-SA"/>
        </w:rPr>
      </w:pPr>
      <w:hyperlink w:anchor="_Toc502600910" w:history="1">
        <w:r w:rsidR="0028046C" w:rsidRPr="0028046C">
          <w:rPr>
            <w:rStyle w:val="Hyperlink"/>
            <w:rFonts w:ascii="Garamond" w:hAnsi="Garamond"/>
          </w:rPr>
          <w:t>2.</w:t>
        </w:r>
        <w:r w:rsidR="0028046C" w:rsidRPr="0028046C">
          <w:rPr>
            <w:rFonts w:ascii="Garamond" w:eastAsiaTheme="minorEastAsia" w:hAnsi="Garamond" w:cstheme="minorBidi"/>
            <w:sz w:val="22"/>
            <w:szCs w:val="22"/>
            <w:lang w:bidi="ar-SA"/>
          </w:rPr>
          <w:tab/>
        </w:r>
        <w:r w:rsidR="0028046C" w:rsidRPr="0028046C">
          <w:rPr>
            <w:rStyle w:val="Hyperlink"/>
            <w:rFonts w:ascii="Garamond" w:hAnsi="Garamond"/>
          </w:rPr>
          <w:t>Methodology</w:t>
        </w:r>
        <w:r w:rsidR="0028046C" w:rsidRPr="0028046C">
          <w:rPr>
            <w:rFonts w:ascii="Garamond" w:hAnsi="Garamond"/>
            <w:webHidden/>
          </w:rPr>
          <w:tab/>
        </w:r>
        <w:r w:rsidR="0028046C" w:rsidRPr="0028046C">
          <w:rPr>
            <w:rFonts w:ascii="Garamond" w:hAnsi="Garamond"/>
            <w:webHidden/>
          </w:rPr>
          <w:fldChar w:fldCharType="begin"/>
        </w:r>
        <w:r w:rsidR="0028046C" w:rsidRPr="0028046C">
          <w:rPr>
            <w:rFonts w:ascii="Garamond" w:hAnsi="Garamond"/>
            <w:webHidden/>
          </w:rPr>
          <w:instrText xml:space="preserve"> PAGEREF _Toc502600910 \h </w:instrText>
        </w:r>
        <w:r w:rsidR="0028046C" w:rsidRPr="0028046C">
          <w:rPr>
            <w:rFonts w:ascii="Garamond" w:hAnsi="Garamond"/>
            <w:webHidden/>
          </w:rPr>
        </w:r>
        <w:r w:rsidR="0028046C" w:rsidRPr="0028046C">
          <w:rPr>
            <w:rFonts w:ascii="Garamond" w:hAnsi="Garamond"/>
            <w:webHidden/>
          </w:rPr>
          <w:fldChar w:fldCharType="separate"/>
        </w:r>
        <w:r w:rsidR="00E41573">
          <w:rPr>
            <w:rFonts w:ascii="Garamond" w:hAnsi="Garamond"/>
            <w:webHidden/>
          </w:rPr>
          <w:t>4</w:t>
        </w:r>
        <w:r w:rsidR="0028046C" w:rsidRPr="0028046C">
          <w:rPr>
            <w:rFonts w:ascii="Garamond" w:hAnsi="Garamond"/>
            <w:webHidden/>
          </w:rPr>
          <w:fldChar w:fldCharType="end"/>
        </w:r>
      </w:hyperlink>
    </w:p>
    <w:p w14:paraId="13459E34" w14:textId="6383F248" w:rsidR="0028046C" w:rsidRPr="0028046C" w:rsidRDefault="005F5812">
      <w:pPr>
        <w:pStyle w:val="TOC2"/>
        <w:rPr>
          <w:rFonts w:ascii="Garamond" w:eastAsiaTheme="minorEastAsia" w:hAnsi="Garamond" w:cstheme="minorBidi"/>
          <w:sz w:val="22"/>
          <w:szCs w:val="22"/>
          <w:lang w:bidi="ar-SA"/>
        </w:rPr>
      </w:pPr>
      <w:hyperlink w:anchor="_Toc502600911" w:history="1">
        <w:r w:rsidR="0028046C" w:rsidRPr="0028046C">
          <w:rPr>
            <w:rStyle w:val="Hyperlink"/>
            <w:rFonts w:ascii="Garamond" w:hAnsi="Garamond"/>
          </w:rPr>
          <w:t>2.1.</w:t>
        </w:r>
        <w:r w:rsidR="0028046C" w:rsidRPr="0028046C">
          <w:rPr>
            <w:rFonts w:ascii="Garamond" w:eastAsiaTheme="minorEastAsia" w:hAnsi="Garamond" w:cstheme="minorBidi"/>
            <w:sz w:val="22"/>
            <w:szCs w:val="22"/>
            <w:lang w:bidi="ar-SA"/>
          </w:rPr>
          <w:tab/>
        </w:r>
        <w:r w:rsidR="0028046C" w:rsidRPr="0028046C">
          <w:rPr>
            <w:rStyle w:val="Hyperlink"/>
            <w:rFonts w:ascii="Garamond" w:hAnsi="Garamond"/>
          </w:rPr>
          <w:t>Compliance Checks</w:t>
        </w:r>
        <w:r w:rsidR="0028046C" w:rsidRPr="0028046C">
          <w:rPr>
            <w:rFonts w:ascii="Garamond" w:hAnsi="Garamond"/>
            <w:webHidden/>
          </w:rPr>
          <w:tab/>
        </w:r>
        <w:r w:rsidR="0028046C" w:rsidRPr="0028046C">
          <w:rPr>
            <w:rFonts w:ascii="Garamond" w:hAnsi="Garamond"/>
            <w:webHidden/>
          </w:rPr>
          <w:fldChar w:fldCharType="begin"/>
        </w:r>
        <w:r w:rsidR="0028046C" w:rsidRPr="0028046C">
          <w:rPr>
            <w:rFonts w:ascii="Garamond" w:hAnsi="Garamond"/>
            <w:webHidden/>
          </w:rPr>
          <w:instrText xml:space="preserve"> PAGEREF _Toc502600911 \h </w:instrText>
        </w:r>
        <w:r w:rsidR="0028046C" w:rsidRPr="0028046C">
          <w:rPr>
            <w:rFonts w:ascii="Garamond" w:hAnsi="Garamond"/>
            <w:webHidden/>
          </w:rPr>
        </w:r>
        <w:r w:rsidR="0028046C" w:rsidRPr="0028046C">
          <w:rPr>
            <w:rFonts w:ascii="Garamond" w:hAnsi="Garamond"/>
            <w:webHidden/>
          </w:rPr>
          <w:fldChar w:fldCharType="separate"/>
        </w:r>
        <w:r w:rsidR="00E41573">
          <w:rPr>
            <w:rFonts w:ascii="Garamond" w:hAnsi="Garamond"/>
            <w:webHidden/>
          </w:rPr>
          <w:t>4</w:t>
        </w:r>
        <w:r w:rsidR="0028046C" w:rsidRPr="0028046C">
          <w:rPr>
            <w:rFonts w:ascii="Garamond" w:hAnsi="Garamond"/>
            <w:webHidden/>
          </w:rPr>
          <w:fldChar w:fldCharType="end"/>
        </w:r>
      </w:hyperlink>
    </w:p>
    <w:p w14:paraId="70D2E75C" w14:textId="48225FF7" w:rsidR="0028046C" w:rsidRPr="0028046C" w:rsidRDefault="005F5812">
      <w:pPr>
        <w:pStyle w:val="TOC2"/>
        <w:rPr>
          <w:rFonts w:ascii="Garamond" w:eastAsiaTheme="minorEastAsia" w:hAnsi="Garamond" w:cstheme="minorBidi"/>
          <w:sz w:val="22"/>
          <w:szCs w:val="22"/>
          <w:lang w:bidi="ar-SA"/>
        </w:rPr>
      </w:pPr>
      <w:hyperlink w:anchor="_Toc502600912" w:history="1">
        <w:r w:rsidR="0028046C" w:rsidRPr="0028046C">
          <w:rPr>
            <w:rStyle w:val="Hyperlink"/>
            <w:rFonts w:ascii="Garamond" w:hAnsi="Garamond"/>
          </w:rPr>
          <w:t>2.2.</w:t>
        </w:r>
        <w:r w:rsidR="0028046C" w:rsidRPr="0028046C">
          <w:rPr>
            <w:rFonts w:ascii="Garamond" w:eastAsiaTheme="minorEastAsia" w:hAnsi="Garamond" w:cstheme="minorBidi"/>
            <w:sz w:val="22"/>
            <w:szCs w:val="22"/>
            <w:lang w:bidi="ar-SA"/>
          </w:rPr>
          <w:tab/>
        </w:r>
        <w:r w:rsidR="0028046C" w:rsidRPr="0028046C">
          <w:rPr>
            <w:rStyle w:val="Hyperlink"/>
            <w:rFonts w:ascii="Garamond" w:hAnsi="Garamond"/>
          </w:rPr>
          <w:t>Data Entry and Analyses</w:t>
        </w:r>
        <w:r w:rsidR="0028046C" w:rsidRPr="0028046C">
          <w:rPr>
            <w:rFonts w:ascii="Garamond" w:hAnsi="Garamond"/>
            <w:webHidden/>
          </w:rPr>
          <w:tab/>
        </w:r>
        <w:r w:rsidR="0028046C" w:rsidRPr="0028046C">
          <w:rPr>
            <w:rFonts w:ascii="Garamond" w:hAnsi="Garamond"/>
            <w:webHidden/>
          </w:rPr>
          <w:fldChar w:fldCharType="begin"/>
        </w:r>
        <w:r w:rsidR="0028046C" w:rsidRPr="0028046C">
          <w:rPr>
            <w:rFonts w:ascii="Garamond" w:hAnsi="Garamond"/>
            <w:webHidden/>
          </w:rPr>
          <w:instrText xml:space="preserve"> PAGEREF _Toc502600912 \h </w:instrText>
        </w:r>
        <w:r w:rsidR="0028046C" w:rsidRPr="0028046C">
          <w:rPr>
            <w:rFonts w:ascii="Garamond" w:hAnsi="Garamond"/>
            <w:webHidden/>
          </w:rPr>
        </w:r>
        <w:r w:rsidR="0028046C" w:rsidRPr="0028046C">
          <w:rPr>
            <w:rFonts w:ascii="Garamond" w:hAnsi="Garamond"/>
            <w:webHidden/>
          </w:rPr>
          <w:fldChar w:fldCharType="separate"/>
        </w:r>
        <w:r w:rsidR="00E41573">
          <w:rPr>
            <w:rFonts w:ascii="Garamond" w:hAnsi="Garamond"/>
            <w:webHidden/>
          </w:rPr>
          <w:t>5</w:t>
        </w:r>
        <w:r w:rsidR="0028046C" w:rsidRPr="0028046C">
          <w:rPr>
            <w:rFonts w:ascii="Garamond" w:hAnsi="Garamond"/>
            <w:webHidden/>
          </w:rPr>
          <w:fldChar w:fldCharType="end"/>
        </w:r>
      </w:hyperlink>
    </w:p>
    <w:p w14:paraId="6602B6A5" w14:textId="12B29276" w:rsidR="0028046C" w:rsidRPr="0028046C" w:rsidRDefault="005F5812">
      <w:pPr>
        <w:pStyle w:val="TOC1"/>
        <w:rPr>
          <w:rFonts w:ascii="Garamond" w:eastAsiaTheme="minorEastAsia" w:hAnsi="Garamond" w:cstheme="minorBidi"/>
          <w:sz w:val="22"/>
          <w:szCs w:val="22"/>
          <w:lang w:bidi="ar-SA"/>
        </w:rPr>
      </w:pPr>
      <w:hyperlink w:anchor="_Toc502600913" w:history="1">
        <w:r w:rsidR="0028046C" w:rsidRPr="0028046C">
          <w:rPr>
            <w:rStyle w:val="Hyperlink"/>
            <w:rFonts w:ascii="Garamond" w:hAnsi="Garamond"/>
          </w:rPr>
          <w:t>3.</w:t>
        </w:r>
        <w:r w:rsidR="0028046C" w:rsidRPr="0028046C">
          <w:rPr>
            <w:rFonts w:ascii="Garamond" w:eastAsiaTheme="minorEastAsia" w:hAnsi="Garamond" w:cstheme="minorBidi"/>
            <w:sz w:val="22"/>
            <w:szCs w:val="22"/>
            <w:lang w:bidi="ar-SA"/>
          </w:rPr>
          <w:tab/>
        </w:r>
        <w:r w:rsidR="0028046C" w:rsidRPr="0028046C">
          <w:rPr>
            <w:rStyle w:val="Hyperlink"/>
            <w:rFonts w:ascii="Garamond" w:hAnsi="Garamond"/>
          </w:rPr>
          <w:t>Results</w:t>
        </w:r>
        <w:r w:rsidR="0028046C" w:rsidRPr="0028046C">
          <w:rPr>
            <w:rFonts w:ascii="Garamond" w:hAnsi="Garamond"/>
            <w:webHidden/>
          </w:rPr>
          <w:tab/>
        </w:r>
        <w:r w:rsidR="0028046C" w:rsidRPr="0028046C">
          <w:rPr>
            <w:rFonts w:ascii="Garamond" w:hAnsi="Garamond"/>
            <w:webHidden/>
          </w:rPr>
          <w:fldChar w:fldCharType="begin"/>
        </w:r>
        <w:r w:rsidR="0028046C" w:rsidRPr="0028046C">
          <w:rPr>
            <w:rFonts w:ascii="Garamond" w:hAnsi="Garamond"/>
            <w:webHidden/>
          </w:rPr>
          <w:instrText xml:space="preserve"> PAGEREF _Toc502600913 \h </w:instrText>
        </w:r>
        <w:r w:rsidR="0028046C" w:rsidRPr="0028046C">
          <w:rPr>
            <w:rFonts w:ascii="Garamond" w:hAnsi="Garamond"/>
            <w:webHidden/>
          </w:rPr>
        </w:r>
        <w:r w:rsidR="0028046C" w:rsidRPr="0028046C">
          <w:rPr>
            <w:rFonts w:ascii="Garamond" w:hAnsi="Garamond"/>
            <w:webHidden/>
          </w:rPr>
          <w:fldChar w:fldCharType="separate"/>
        </w:r>
        <w:r w:rsidR="00E41573">
          <w:rPr>
            <w:rFonts w:ascii="Garamond" w:hAnsi="Garamond"/>
            <w:webHidden/>
          </w:rPr>
          <w:t>6</w:t>
        </w:r>
        <w:r w:rsidR="0028046C" w:rsidRPr="0028046C">
          <w:rPr>
            <w:rFonts w:ascii="Garamond" w:hAnsi="Garamond"/>
            <w:webHidden/>
          </w:rPr>
          <w:fldChar w:fldCharType="end"/>
        </w:r>
      </w:hyperlink>
    </w:p>
    <w:p w14:paraId="1125CC75" w14:textId="2118B5E0" w:rsidR="0028046C" w:rsidRPr="0028046C" w:rsidRDefault="005F5812">
      <w:pPr>
        <w:pStyle w:val="TOC2"/>
        <w:rPr>
          <w:rFonts w:ascii="Garamond" w:eastAsiaTheme="minorEastAsia" w:hAnsi="Garamond" w:cstheme="minorBidi"/>
          <w:sz w:val="22"/>
          <w:szCs w:val="22"/>
          <w:lang w:bidi="ar-SA"/>
        </w:rPr>
      </w:pPr>
      <w:hyperlink w:anchor="_Toc502600914" w:history="1">
        <w:r w:rsidR="0028046C" w:rsidRPr="0028046C">
          <w:rPr>
            <w:rStyle w:val="Hyperlink"/>
            <w:rFonts w:ascii="Garamond" w:hAnsi="Garamond"/>
          </w:rPr>
          <w:t>3.1.</w:t>
        </w:r>
        <w:r w:rsidR="0028046C" w:rsidRPr="0028046C">
          <w:rPr>
            <w:rFonts w:ascii="Garamond" w:eastAsiaTheme="minorEastAsia" w:hAnsi="Garamond" w:cstheme="minorBidi"/>
            <w:sz w:val="22"/>
            <w:szCs w:val="22"/>
            <w:lang w:bidi="ar-SA"/>
          </w:rPr>
          <w:tab/>
        </w:r>
        <w:r w:rsidR="0028046C" w:rsidRPr="0028046C">
          <w:rPr>
            <w:rStyle w:val="Hyperlink"/>
            <w:rFonts w:ascii="Garamond" w:hAnsi="Garamond"/>
          </w:rPr>
          <w:t>Compliance Checks Counts (2007 – 2017)</w:t>
        </w:r>
        <w:r w:rsidR="0028046C" w:rsidRPr="0028046C">
          <w:rPr>
            <w:rFonts w:ascii="Garamond" w:hAnsi="Garamond"/>
            <w:webHidden/>
          </w:rPr>
          <w:tab/>
        </w:r>
        <w:r w:rsidR="0028046C" w:rsidRPr="0028046C">
          <w:rPr>
            <w:rFonts w:ascii="Garamond" w:hAnsi="Garamond"/>
            <w:webHidden/>
          </w:rPr>
          <w:fldChar w:fldCharType="begin"/>
        </w:r>
        <w:r w:rsidR="0028046C" w:rsidRPr="0028046C">
          <w:rPr>
            <w:rFonts w:ascii="Garamond" w:hAnsi="Garamond"/>
            <w:webHidden/>
          </w:rPr>
          <w:instrText xml:space="preserve"> PAGEREF _Toc502600914 \h </w:instrText>
        </w:r>
        <w:r w:rsidR="0028046C" w:rsidRPr="0028046C">
          <w:rPr>
            <w:rFonts w:ascii="Garamond" w:hAnsi="Garamond"/>
            <w:webHidden/>
          </w:rPr>
        </w:r>
        <w:r w:rsidR="0028046C" w:rsidRPr="0028046C">
          <w:rPr>
            <w:rFonts w:ascii="Garamond" w:hAnsi="Garamond"/>
            <w:webHidden/>
          </w:rPr>
          <w:fldChar w:fldCharType="separate"/>
        </w:r>
        <w:r w:rsidR="00E41573">
          <w:rPr>
            <w:rFonts w:ascii="Garamond" w:hAnsi="Garamond"/>
            <w:webHidden/>
          </w:rPr>
          <w:t>6</w:t>
        </w:r>
        <w:r w:rsidR="0028046C" w:rsidRPr="0028046C">
          <w:rPr>
            <w:rFonts w:ascii="Garamond" w:hAnsi="Garamond"/>
            <w:webHidden/>
          </w:rPr>
          <w:fldChar w:fldCharType="end"/>
        </w:r>
      </w:hyperlink>
    </w:p>
    <w:p w14:paraId="72216949" w14:textId="54EDFC88" w:rsidR="0028046C" w:rsidRPr="0028046C" w:rsidRDefault="005F5812">
      <w:pPr>
        <w:pStyle w:val="TOC2"/>
        <w:rPr>
          <w:rFonts w:ascii="Garamond" w:eastAsiaTheme="minorEastAsia" w:hAnsi="Garamond" w:cstheme="minorBidi"/>
          <w:sz w:val="22"/>
          <w:szCs w:val="22"/>
          <w:lang w:bidi="ar-SA"/>
        </w:rPr>
      </w:pPr>
      <w:hyperlink w:anchor="_Toc502600915" w:history="1">
        <w:r w:rsidR="0028046C" w:rsidRPr="0028046C">
          <w:rPr>
            <w:rStyle w:val="Hyperlink"/>
            <w:rFonts w:ascii="Garamond" w:hAnsi="Garamond"/>
          </w:rPr>
          <w:t>3.2.</w:t>
        </w:r>
        <w:r w:rsidR="0028046C" w:rsidRPr="0028046C">
          <w:rPr>
            <w:rFonts w:ascii="Garamond" w:eastAsiaTheme="minorEastAsia" w:hAnsi="Garamond" w:cstheme="minorBidi"/>
            <w:sz w:val="22"/>
            <w:szCs w:val="22"/>
            <w:lang w:bidi="ar-SA"/>
          </w:rPr>
          <w:tab/>
        </w:r>
        <w:r w:rsidR="0028046C" w:rsidRPr="0028046C">
          <w:rPr>
            <w:rStyle w:val="Hyperlink"/>
            <w:rFonts w:ascii="Garamond" w:hAnsi="Garamond"/>
          </w:rPr>
          <w:t>Alcohol Sales Compliance Checks Results</w:t>
        </w:r>
        <w:r w:rsidR="0028046C" w:rsidRPr="0028046C">
          <w:rPr>
            <w:rFonts w:ascii="Garamond" w:hAnsi="Garamond"/>
            <w:webHidden/>
          </w:rPr>
          <w:tab/>
        </w:r>
        <w:r w:rsidR="0028046C" w:rsidRPr="0028046C">
          <w:rPr>
            <w:rFonts w:ascii="Garamond" w:hAnsi="Garamond"/>
            <w:webHidden/>
          </w:rPr>
          <w:fldChar w:fldCharType="begin"/>
        </w:r>
        <w:r w:rsidR="0028046C" w:rsidRPr="0028046C">
          <w:rPr>
            <w:rFonts w:ascii="Garamond" w:hAnsi="Garamond"/>
            <w:webHidden/>
          </w:rPr>
          <w:instrText xml:space="preserve"> PAGEREF _Toc502600915 \h </w:instrText>
        </w:r>
        <w:r w:rsidR="0028046C" w:rsidRPr="0028046C">
          <w:rPr>
            <w:rFonts w:ascii="Garamond" w:hAnsi="Garamond"/>
            <w:webHidden/>
          </w:rPr>
        </w:r>
        <w:r w:rsidR="0028046C" w:rsidRPr="0028046C">
          <w:rPr>
            <w:rFonts w:ascii="Garamond" w:hAnsi="Garamond"/>
            <w:webHidden/>
          </w:rPr>
          <w:fldChar w:fldCharType="separate"/>
        </w:r>
        <w:r w:rsidR="00E41573">
          <w:rPr>
            <w:rFonts w:ascii="Garamond" w:hAnsi="Garamond"/>
            <w:webHidden/>
          </w:rPr>
          <w:t>7</w:t>
        </w:r>
        <w:r w:rsidR="0028046C" w:rsidRPr="0028046C">
          <w:rPr>
            <w:rFonts w:ascii="Garamond" w:hAnsi="Garamond"/>
            <w:webHidden/>
          </w:rPr>
          <w:fldChar w:fldCharType="end"/>
        </w:r>
      </w:hyperlink>
    </w:p>
    <w:p w14:paraId="06D10BFC" w14:textId="6B01CB87" w:rsidR="0028046C" w:rsidRPr="0028046C" w:rsidRDefault="005F5812">
      <w:pPr>
        <w:pStyle w:val="TOC2"/>
        <w:rPr>
          <w:rFonts w:ascii="Garamond" w:eastAsiaTheme="minorEastAsia" w:hAnsi="Garamond" w:cstheme="minorBidi"/>
          <w:sz w:val="22"/>
          <w:szCs w:val="22"/>
          <w:lang w:bidi="ar-SA"/>
        </w:rPr>
      </w:pPr>
      <w:hyperlink w:anchor="_Toc502600916" w:history="1">
        <w:r w:rsidR="0028046C" w:rsidRPr="0028046C">
          <w:rPr>
            <w:rStyle w:val="Hyperlink"/>
            <w:rFonts w:ascii="Garamond" w:hAnsi="Garamond"/>
          </w:rPr>
          <w:t>3.3.</w:t>
        </w:r>
        <w:r w:rsidR="0028046C" w:rsidRPr="0028046C">
          <w:rPr>
            <w:rFonts w:ascii="Garamond" w:eastAsiaTheme="minorEastAsia" w:hAnsi="Garamond" w:cstheme="minorBidi"/>
            <w:sz w:val="22"/>
            <w:szCs w:val="22"/>
            <w:lang w:bidi="ar-SA"/>
          </w:rPr>
          <w:tab/>
        </w:r>
        <w:r w:rsidR="0028046C" w:rsidRPr="0028046C">
          <w:rPr>
            <w:rStyle w:val="Hyperlink"/>
            <w:rFonts w:ascii="Garamond" w:hAnsi="Garamond"/>
          </w:rPr>
          <w:t>Tobacco Sales Compliance Checks Results</w:t>
        </w:r>
        <w:r w:rsidR="0028046C" w:rsidRPr="0028046C">
          <w:rPr>
            <w:rFonts w:ascii="Garamond" w:hAnsi="Garamond"/>
            <w:webHidden/>
          </w:rPr>
          <w:tab/>
        </w:r>
        <w:r w:rsidR="0028046C" w:rsidRPr="0028046C">
          <w:rPr>
            <w:rFonts w:ascii="Garamond" w:hAnsi="Garamond"/>
            <w:webHidden/>
          </w:rPr>
          <w:fldChar w:fldCharType="begin"/>
        </w:r>
        <w:r w:rsidR="0028046C" w:rsidRPr="0028046C">
          <w:rPr>
            <w:rFonts w:ascii="Garamond" w:hAnsi="Garamond"/>
            <w:webHidden/>
          </w:rPr>
          <w:instrText xml:space="preserve"> PAGEREF _Toc502600916 \h </w:instrText>
        </w:r>
        <w:r w:rsidR="0028046C" w:rsidRPr="0028046C">
          <w:rPr>
            <w:rFonts w:ascii="Garamond" w:hAnsi="Garamond"/>
            <w:webHidden/>
          </w:rPr>
        </w:r>
        <w:r w:rsidR="0028046C" w:rsidRPr="0028046C">
          <w:rPr>
            <w:rFonts w:ascii="Garamond" w:hAnsi="Garamond"/>
            <w:webHidden/>
          </w:rPr>
          <w:fldChar w:fldCharType="separate"/>
        </w:r>
        <w:r w:rsidR="00E41573">
          <w:rPr>
            <w:rFonts w:ascii="Garamond" w:hAnsi="Garamond"/>
            <w:webHidden/>
          </w:rPr>
          <w:t>12</w:t>
        </w:r>
        <w:r w:rsidR="0028046C" w:rsidRPr="0028046C">
          <w:rPr>
            <w:rFonts w:ascii="Garamond" w:hAnsi="Garamond"/>
            <w:webHidden/>
          </w:rPr>
          <w:fldChar w:fldCharType="end"/>
        </w:r>
      </w:hyperlink>
    </w:p>
    <w:p w14:paraId="212C678E" w14:textId="44F26228" w:rsidR="00C0523B" w:rsidRPr="00AE6D93" w:rsidRDefault="003A70B0" w:rsidP="00930C41">
      <w:pPr>
        <w:spacing w:after="60"/>
        <w:rPr>
          <w:rFonts w:ascii="Garamond" w:hAnsi="Garamond"/>
        </w:rPr>
      </w:pPr>
      <w:r w:rsidRPr="0028046C">
        <w:rPr>
          <w:rFonts w:ascii="Garamond" w:hAnsi="Garamond"/>
        </w:rPr>
        <w:fldChar w:fldCharType="end"/>
      </w:r>
    </w:p>
    <w:p w14:paraId="3F8D6F94" w14:textId="77777777" w:rsidR="00930C41" w:rsidRPr="00AE6D93" w:rsidRDefault="00930C41" w:rsidP="00930C41">
      <w:pPr>
        <w:spacing w:after="60"/>
        <w:rPr>
          <w:rFonts w:ascii="Garamond" w:hAnsi="Garamond"/>
        </w:rPr>
      </w:pPr>
    </w:p>
    <w:p w14:paraId="2FFE5510" w14:textId="77777777" w:rsidR="00A124EA" w:rsidRPr="00AE6D93" w:rsidRDefault="00A124EA">
      <w:pPr>
        <w:rPr>
          <w:rFonts w:ascii="Garamond" w:hAnsi="Garamond"/>
        </w:rPr>
      </w:pPr>
    </w:p>
    <w:p w14:paraId="4B12078D" w14:textId="77777777" w:rsidR="00C0523B" w:rsidRPr="00AE6D93" w:rsidRDefault="00C0523B" w:rsidP="00C0523B">
      <w:pPr>
        <w:pStyle w:val="TOCTitle"/>
      </w:pPr>
      <w:r w:rsidRPr="00AE6D93">
        <w:t>List of Tables</w:t>
      </w:r>
    </w:p>
    <w:p w14:paraId="4532BD35" w14:textId="07E18F33" w:rsidR="0028046C" w:rsidRPr="0028046C" w:rsidRDefault="003A70B0">
      <w:pPr>
        <w:pStyle w:val="TableofFigures"/>
        <w:rPr>
          <w:rFonts w:ascii="Garamond" w:eastAsiaTheme="minorEastAsia" w:hAnsi="Garamond" w:cstheme="minorBidi"/>
          <w:noProof/>
          <w:sz w:val="22"/>
          <w:szCs w:val="22"/>
          <w:lang w:bidi="ar-SA"/>
        </w:rPr>
      </w:pPr>
      <w:r w:rsidRPr="0028046C">
        <w:rPr>
          <w:rFonts w:ascii="Garamond" w:hAnsi="Garamond"/>
        </w:rPr>
        <w:fldChar w:fldCharType="begin"/>
      </w:r>
      <w:r w:rsidR="00A124EA" w:rsidRPr="0028046C">
        <w:rPr>
          <w:rFonts w:ascii="Garamond" w:hAnsi="Garamond"/>
        </w:rPr>
        <w:instrText xml:space="preserve"> TOC \h \z \t "Table Title" \c </w:instrText>
      </w:r>
      <w:r w:rsidRPr="0028046C">
        <w:rPr>
          <w:rFonts w:ascii="Garamond" w:hAnsi="Garamond"/>
        </w:rPr>
        <w:fldChar w:fldCharType="separate"/>
      </w:r>
      <w:hyperlink w:anchor="_Toc502600917" w:history="1">
        <w:r w:rsidR="0028046C" w:rsidRPr="0028046C">
          <w:rPr>
            <w:rStyle w:val="Hyperlink"/>
            <w:rFonts w:ascii="Garamond" w:hAnsi="Garamond"/>
            <w:noProof/>
          </w:rPr>
          <w:t>Table 3.1. Alcohol Sales Compliance Rates and Number of Violations by County (2017)</w:t>
        </w:r>
        <w:r w:rsidR="0028046C" w:rsidRPr="0028046C">
          <w:rPr>
            <w:rStyle w:val="Hyperlink"/>
            <w:rFonts w:ascii="Garamond" w:hAnsi="Garamond" w:cs="Arial"/>
            <w:noProof/>
          </w:rPr>
          <w:t>*</w:t>
        </w:r>
        <w:r w:rsidR="0028046C" w:rsidRPr="0028046C">
          <w:rPr>
            <w:rFonts w:ascii="Garamond" w:hAnsi="Garamond"/>
            <w:noProof/>
            <w:webHidden/>
          </w:rPr>
          <w:tab/>
        </w:r>
        <w:r w:rsidR="0028046C" w:rsidRPr="0028046C">
          <w:rPr>
            <w:rFonts w:ascii="Garamond" w:hAnsi="Garamond"/>
            <w:noProof/>
            <w:webHidden/>
          </w:rPr>
          <w:fldChar w:fldCharType="begin"/>
        </w:r>
        <w:r w:rsidR="0028046C" w:rsidRPr="0028046C">
          <w:rPr>
            <w:rFonts w:ascii="Garamond" w:hAnsi="Garamond"/>
            <w:noProof/>
            <w:webHidden/>
          </w:rPr>
          <w:instrText xml:space="preserve"> PAGEREF _Toc502600917 \h </w:instrText>
        </w:r>
        <w:r w:rsidR="0028046C" w:rsidRPr="0028046C">
          <w:rPr>
            <w:rFonts w:ascii="Garamond" w:hAnsi="Garamond"/>
            <w:noProof/>
            <w:webHidden/>
          </w:rPr>
        </w:r>
        <w:r w:rsidR="0028046C" w:rsidRPr="0028046C">
          <w:rPr>
            <w:rFonts w:ascii="Garamond" w:hAnsi="Garamond"/>
            <w:noProof/>
            <w:webHidden/>
          </w:rPr>
          <w:fldChar w:fldCharType="separate"/>
        </w:r>
        <w:r w:rsidR="00E41573">
          <w:rPr>
            <w:rFonts w:ascii="Garamond" w:hAnsi="Garamond"/>
            <w:noProof/>
            <w:webHidden/>
          </w:rPr>
          <w:t>9</w:t>
        </w:r>
        <w:r w:rsidR="0028046C" w:rsidRPr="0028046C">
          <w:rPr>
            <w:rFonts w:ascii="Garamond" w:hAnsi="Garamond"/>
            <w:noProof/>
            <w:webHidden/>
          </w:rPr>
          <w:fldChar w:fldCharType="end"/>
        </w:r>
      </w:hyperlink>
    </w:p>
    <w:p w14:paraId="46916662" w14:textId="3FFEECC9" w:rsidR="0028046C" w:rsidRPr="0028046C" w:rsidRDefault="005F5812">
      <w:pPr>
        <w:pStyle w:val="TableofFigures"/>
        <w:rPr>
          <w:rFonts w:ascii="Garamond" w:eastAsiaTheme="minorEastAsia" w:hAnsi="Garamond" w:cstheme="minorBidi"/>
          <w:noProof/>
          <w:sz w:val="22"/>
          <w:szCs w:val="22"/>
          <w:lang w:bidi="ar-SA"/>
        </w:rPr>
      </w:pPr>
      <w:hyperlink w:anchor="_Toc502600918" w:history="1">
        <w:r w:rsidR="0028046C" w:rsidRPr="0028046C">
          <w:rPr>
            <w:rStyle w:val="Hyperlink"/>
            <w:rFonts w:ascii="Garamond" w:hAnsi="Garamond"/>
            <w:noProof/>
          </w:rPr>
          <w:t>Table 3.2. Alcohol Sales Compliance Rates and Number of Violations by Municipality (2017)</w:t>
        </w:r>
        <w:r w:rsidR="0028046C" w:rsidRPr="0028046C">
          <w:rPr>
            <w:rFonts w:ascii="Garamond" w:hAnsi="Garamond"/>
            <w:noProof/>
            <w:webHidden/>
          </w:rPr>
          <w:tab/>
        </w:r>
        <w:r w:rsidR="0028046C" w:rsidRPr="0028046C">
          <w:rPr>
            <w:rFonts w:ascii="Garamond" w:hAnsi="Garamond"/>
            <w:noProof/>
            <w:webHidden/>
          </w:rPr>
          <w:fldChar w:fldCharType="begin"/>
        </w:r>
        <w:r w:rsidR="0028046C" w:rsidRPr="0028046C">
          <w:rPr>
            <w:rFonts w:ascii="Garamond" w:hAnsi="Garamond"/>
            <w:noProof/>
            <w:webHidden/>
          </w:rPr>
          <w:instrText xml:space="preserve"> PAGEREF _Toc502600918 \h </w:instrText>
        </w:r>
        <w:r w:rsidR="0028046C" w:rsidRPr="0028046C">
          <w:rPr>
            <w:rFonts w:ascii="Garamond" w:hAnsi="Garamond"/>
            <w:noProof/>
            <w:webHidden/>
          </w:rPr>
        </w:r>
        <w:r w:rsidR="0028046C" w:rsidRPr="0028046C">
          <w:rPr>
            <w:rFonts w:ascii="Garamond" w:hAnsi="Garamond"/>
            <w:noProof/>
            <w:webHidden/>
          </w:rPr>
          <w:fldChar w:fldCharType="separate"/>
        </w:r>
        <w:r w:rsidR="00E41573">
          <w:rPr>
            <w:rFonts w:ascii="Garamond" w:hAnsi="Garamond"/>
            <w:noProof/>
            <w:webHidden/>
          </w:rPr>
          <w:t>10</w:t>
        </w:r>
        <w:r w:rsidR="0028046C" w:rsidRPr="0028046C">
          <w:rPr>
            <w:rFonts w:ascii="Garamond" w:hAnsi="Garamond"/>
            <w:noProof/>
            <w:webHidden/>
          </w:rPr>
          <w:fldChar w:fldCharType="end"/>
        </w:r>
      </w:hyperlink>
    </w:p>
    <w:p w14:paraId="5311860E" w14:textId="6B63C358" w:rsidR="0028046C" w:rsidRPr="0028046C" w:rsidRDefault="005F5812">
      <w:pPr>
        <w:pStyle w:val="TableofFigures"/>
        <w:rPr>
          <w:rFonts w:ascii="Garamond" w:eastAsiaTheme="minorEastAsia" w:hAnsi="Garamond" w:cstheme="minorBidi"/>
          <w:noProof/>
          <w:sz w:val="22"/>
          <w:szCs w:val="22"/>
          <w:lang w:bidi="ar-SA"/>
        </w:rPr>
      </w:pPr>
      <w:hyperlink w:anchor="_Toc502600919" w:history="1">
        <w:r w:rsidR="0028046C" w:rsidRPr="0028046C">
          <w:rPr>
            <w:rStyle w:val="Hyperlink"/>
            <w:rFonts w:ascii="Garamond" w:hAnsi="Garamond"/>
            <w:noProof/>
          </w:rPr>
          <w:t>Table 3.3. Summary of Alcohol Sales Compliance Rates by Municipality (2017)</w:t>
        </w:r>
        <w:r w:rsidR="0028046C" w:rsidRPr="0028046C">
          <w:rPr>
            <w:rFonts w:ascii="Garamond" w:hAnsi="Garamond"/>
            <w:noProof/>
            <w:webHidden/>
          </w:rPr>
          <w:tab/>
        </w:r>
        <w:r w:rsidR="0028046C" w:rsidRPr="0028046C">
          <w:rPr>
            <w:rFonts w:ascii="Garamond" w:hAnsi="Garamond"/>
            <w:noProof/>
            <w:webHidden/>
          </w:rPr>
          <w:fldChar w:fldCharType="begin"/>
        </w:r>
        <w:r w:rsidR="0028046C" w:rsidRPr="0028046C">
          <w:rPr>
            <w:rFonts w:ascii="Garamond" w:hAnsi="Garamond"/>
            <w:noProof/>
            <w:webHidden/>
          </w:rPr>
          <w:instrText xml:space="preserve"> PAGEREF _Toc502600919 \h </w:instrText>
        </w:r>
        <w:r w:rsidR="0028046C" w:rsidRPr="0028046C">
          <w:rPr>
            <w:rFonts w:ascii="Garamond" w:hAnsi="Garamond"/>
            <w:noProof/>
            <w:webHidden/>
          </w:rPr>
        </w:r>
        <w:r w:rsidR="0028046C" w:rsidRPr="0028046C">
          <w:rPr>
            <w:rFonts w:ascii="Garamond" w:hAnsi="Garamond"/>
            <w:noProof/>
            <w:webHidden/>
          </w:rPr>
          <w:fldChar w:fldCharType="separate"/>
        </w:r>
        <w:r w:rsidR="00E41573">
          <w:rPr>
            <w:rFonts w:ascii="Garamond" w:hAnsi="Garamond"/>
            <w:noProof/>
            <w:webHidden/>
          </w:rPr>
          <w:t>11</w:t>
        </w:r>
        <w:r w:rsidR="0028046C" w:rsidRPr="0028046C">
          <w:rPr>
            <w:rFonts w:ascii="Garamond" w:hAnsi="Garamond"/>
            <w:noProof/>
            <w:webHidden/>
          </w:rPr>
          <w:fldChar w:fldCharType="end"/>
        </w:r>
      </w:hyperlink>
    </w:p>
    <w:p w14:paraId="6250B9B9" w14:textId="4B476D81" w:rsidR="0028046C" w:rsidRPr="0028046C" w:rsidRDefault="005F5812">
      <w:pPr>
        <w:pStyle w:val="TableofFigures"/>
        <w:rPr>
          <w:rFonts w:ascii="Garamond" w:eastAsiaTheme="minorEastAsia" w:hAnsi="Garamond" w:cstheme="minorBidi"/>
          <w:noProof/>
          <w:sz w:val="22"/>
          <w:szCs w:val="22"/>
          <w:lang w:bidi="ar-SA"/>
        </w:rPr>
      </w:pPr>
      <w:hyperlink w:anchor="_Toc502600920" w:history="1">
        <w:r w:rsidR="0028046C" w:rsidRPr="0028046C">
          <w:rPr>
            <w:rStyle w:val="Hyperlink"/>
            <w:rFonts w:ascii="Garamond" w:hAnsi="Garamond"/>
            <w:noProof/>
          </w:rPr>
          <w:t>Table 3.4. Tobacco Sales Compliance Rate and Number of Violations by County (2017)</w:t>
        </w:r>
        <w:r w:rsidR="0028046C" w:rsidRPr="0028046C">
          <w:rPr>
            <w:rStyle w:val="Hyperlink"/>
            <w:rFonts w:ascii="Garamond" w:hAnsi="Garamond" w:cs="Arial"/>
            <w:noProof/>
          </w:rPr>
          <w:t>*</w:t>
        </w:r>
        <w:r w:rsidR="0028046C" w:rsidRPr="0028046C">
          <w:rPr>
            <w:rFonts w:ascii="Garamond" w:hAnsi="Garamond"/>
            <w:noProof/>
            <w:webHidden/>
          </w:rPr>
          <w:tab/>
        </w:r>
        <w:r w:rsidR="0028046C" w:rsidRPr="0028046C">
          <w:rPr>
            <w:rFonts w:ascii="Garamond" w:hAnsi="Garamond"/>
            <w:noProof/>
            <w:webHidden/>
          </w:rPr>
          <w:fldChar w:fldCharType="begin"/>
        </w:r>
        <w:r w:rsidR="0028046C" w:rsidRPr="0028046C">
          <w:rPr>
            <w:rFonts w:ascii="Garamond" w:hAnsi="Garamond"/>
            <w:noProof/>
            <w:webHidden/>
          </w:rPr>
          <w:instrText xml:space="preserve"> PAGEREF _Toc502600920 \h </w:instrText>
        </w:r>
        <w:r w:rsidR="0028046C" w:rsidRPr="0028046C">
          <w:rPr>
            <w:rFonts w:ascii="Garamond" w:hAnsi="Garamond"/>
            <w:noProof/>
            <w:webHidden/>
          </w:rPr>
        </w:r>
        <w:r w:rsidR="0028046C" w:rsidRPr="0028046C">
          <w:rPr>
            <w:rFonts w:ascii="Garamond" w:hAnsi="Garamond"/>
            <w:noProof/>
            <w:webHidden/>
          </w:rPr>
          <w:fldChar w:fldCharType="separate"/>
        </w:r>
        <w:r w:rsidR="00E41573">
          <w:rPr>
            <w:rFonts w:ascii="Garamond" w:hAnsi="Garamond"/>
            <w:noProof/>
            <w:webHidden/>
          </w:rPr>
          <w:t>14</w:t>
        </w:r>
        <w:r w:rsidR="0028046C" w:rsidRPr="0028046C">
          <w:rPr>
            <w:rFonts w:ascii="Garamond" w:hAnsi="Garamond"/>
            <w:noProof/>
            <w:webHidden/>
          </w:rPr>
          <w:fldChar w:fldCharType="end"/>
        </w:r>
      </w:hyperlink>
    </w:p>
    <w:p w14:paraId="4DF1EAF6" w14:textId="4DDB9C83" w:rsidR="0028046C" w:rsidRPr="0028046C" w:rsidRDefault="005F5812">
      <w:pPr>
        <w:pStyle w:val="TableofFigures"/>
        <w:rPr>
          <w:rFonts w:ascii="Garamond" w:eastAsiaTheme="minorEastAsia" w:hAnsi="Garamond" w:cstheme="minorBidi"/>
          <w:noProof/>
          <w:sz w:val="22"/>
          <w:szCs w:val="22"/>
          <w:lang w:bidi="ar-SA"/>
        </w:rPr>
      </w:pPr>
      <w:hyperlink w:anchor="_Toc502600921" w:history="1">
        <w:r w:rsidR="0028046C" w:rsidRPr="0028046C">
          <w:rPr>
            <w:rStyle w:val="Hyperlink"/>
            <w:rFonts w:ascii="Garamond" w:hAnsi="Garamond"/>
            <w:noProof/>
          </w:rPr>
          <w:t>Table 3.5. Tobacco Sales Compliance Rate and Number of Violations by Municipality (2017)</w:t>
        </w:r>
        <w:r w:rsidR="0028046C" w:rsidRPr="0028046C">
          <w:rPr>
            <w:rFonts w:ascii="Garamond" w:hAnsi="Garamond"/>
            <w:noProof/>
            <w:webHidden/>
          </w:rPr>
          <w:tab/>
        </w:r>
        <w:r w:rsidR="0028046C" w:rsidRPr="0028046C">
          <w:rPr>
            <w:rFonts w:ascii="Garamond" w:hAnsi="Garamond"/>
            <w:noProof/>
            <w:webHidden/>
          </w:rPr>
          <w:fldChar w:fldCharType="begin"/>
        </w:r>
        <w:r w:rsidR="0028046C" w:rsidRPr="0028046C">
          <w:rPr>
            <w:rFonts w:ascii="Garamond" w:hAnsi="Garamond"/>
            <w:noProof/>
            <w:webHidden/>
          </w:rPr>
          <w:instrText xml:space="preserve"> PAGEREF _Toc502600921 \h </w:instrText>
        </w:r>
        <w:r w:rsidR="0028046C" w:rsidRPr="0028046C">
          <w:rPr>
            <w:rFonts w:ascii="Garamond" w:hAnsi="Garamond"/>
            <w:noProof/>
            <w:webHidden/>
          </w:rPr>
        </w:r>
        <w:r w:rsidR="0028046C" w:rsidRPr="0028046C">
          <w:rPr>
            <w:rFonts w:ascii="Garamond" w:hAnsi="Garamond"/>
            <w:noProof/>
            <w:webHidden/>
          </w:rPr>
          <w:fldChar w:fldCharType="separate"/>
        </w:r>
        <w:r w:rsidR="00E41573">
          <w:rPr>
            <w:rFonts w:ascii="Garamond" w:hAnsi="Garamond"/>
            <w:noProof/>
            <w:webHidden/>
          </w:rPr>
          <w:t>15</w:t>
        </w:r>
        <w:r w:rsidR="0028046C" w:rsidRPr="0028046C">
          <w:rPr>
            <w:rFonts w:ascii="Garamond" w:hAnsi="Garamond"/>
            <w:noProof/>
            <w:webHidden/>
          </w:rPr>
          <w:fldChar w:fldCharType="end"/>
        </w:r>
      </w:hyperlink>
    </w:p>
    <w:p w14:paraId="54CFC9C4" w14:textId="541C07E3" w:rsidR="0028046C" w:rsidRPr="0028046C" w:rsidRDefault="005F5812">
      <w:pPr>
        <w:pStyle w:val="TableofFigures"/>
        <w:rPr>
          <w:rFonts w:ascii="Garamond" w:eastAsiaTheme="minorEastAsia" w:hAnsi="Garamond" w:cstheme="minorBidi"/>
          <w:noProof/>
          <w:sz w:val="22"/>
          <w:szCs w:val="22"/>
          <w:lang w:bidi="ar-SA"/>
        </w:rPr>
      </w:pPr>
      <w:hyperlink w:anchor="_Toc502600922" w:history="1">
        <w:r w:rsidR="0028046C" w:rsidRPr="0028046C">
          <w:rPr>
            <w:rStyle w:val="Hyperlink"/>
            <w:rFonts w:ascii="Garamond" w:hAnsi="Garamond"/>
            <w:noProof/>
          </w:rPr>
          <w:t>Table 3.6. Summary of Tobacco Sales Compliance Rates by Municipality (2017)</w:t>
        </w:r>
        <w:r w:rsidR="0028046C" w:rsidRPr="0028046C">
          <w:rPr>
            <w:rFonts w:ascii="Garamond" w:hAnsi="Garamond"/>
            <w:noProof/>
            <w:webHidden/>
          </w:rPr>
          <w:tab/>
        </w:r>
        <w:r w:rsidR="0028046C" w:rsidRPr="0028046C">
          <w:rPr>
            <w:rFonts w:ascii="Garamond" w:hAnsi="Garamond"/>
            <w:noProof/>
            <w:webHidden/>
          </w:rPr>
          <w:fldChar w:fldCharType="begin"/>
        </w:r>
        <w:r w:rsidR="0028046C" w:rsidRPr="0028046C">
          <w:rPr>
            <w:rFonts w:ascii="Garamond" w:hAnsi="Garamond"/>
            <w:noProof/>
            <w:webHidden/>
          </w:rPr>
          <w:instrText xml:space="preserve"> PAGEREF _Toc502600922 \h </w:instrText>
        </w:r>
        <w:r w:rsidR="0028046C" w:rsidRPr="0028046C">
          <w:rPr>
            <w:rFonts w:ascii="Garamond" w:hAnsi="Garamond"/>
            <w:noProof/>
            <w:webHidden/>
          </w:rPr>
        </w:r>
        <w:r w:rsidR="0028046C" w:rsidRPr="0028046C">
          <w:rPr>
            <w:rFonts w:ascii="Garamond" w:hAnsi="Garamond"/>
            <w:noProof/>
            <w:webHidden/>
          </w:rPr>
          <w:fldChar w:fldCharType="separate"/>
        </w:r>
        <w:r w:rsidR="00E41573">
          <w:rPr>
            <w:rFonts w:ascii="Garamond" w:hAnsi="Garamond"/>
            <w:noProof/>
            <w:webHidden/>
          </w:rPr>
          <w:t>16</w:t>
        </w:r>
        <w:r w:rsidR="0028046C" w:rsidRPr="0028046C">
          <w:rPr>
            <w:rFonts w:ascii="Garamond" w:hAnsi="Garamond"/>
            <w:noProof/>
            <w:webHidden/>
          </w:rPr>
          <w:fldChar w:fldCharType="end"/>
        </w:r>
      </w:hyperlink>
    </w:p>
    <w:p w14:paraId="76C96B11" w14:textId="310919E2" w:rsidR="00C0523B" w:rsidRPr="00AE6D93" w:rsidRDefault="003A70B0" w:rsidP="00892531">
      <w:pPr>
        <w:pStyle w:val="TableofFigures"/>
        <w:spacing w:after="60"/>
        <w:rPr>
          <w:rFonts w:ascii="Garamond" w:hAnsi="Garamond"/>
        </w:rPr>
      </w:pPr>
      <w:r w:rsidRPr="0028046C">
        <w:rPr>
          <w:rFonts w:ascii="Garamond" w:hAnsi="Garamond"/>
        </w:rPr>
        <w:fldChar w:fldCharType="end"/>
      </w:r>
    </w:p>
    <w:p w14:paraId="281D568D" w14:textId="77777777" w:rsidR="00A124EA" w:rsidRPr="00AE6D93" w:rsidRDefault="00A124EA" w:rsidP="00C0523B">
      <w:pPr>
        <w:rPr>
          <w:rFonts w:ascii="Garamond" w:hAnsi="Garamond"/>
        </w:rPr>
      </w:pPr>
    </w:p>
    <w:p w14:paraId="088E1DF1" w14:textId="77777777" w:rsidR="00930C41" w:rsidRPr="00AE6D93" w:rsidRDefault="00930C41" w:rsidP="00C0523B">
      <w:pPr>
        <w:rPr>
          <w:rFonts w:ascii="Garamond" w:hAnsi="Garamond"/>
        </w:rPr>
      </w:pPr>
    </w:p>
    <w:p w14:paraId="4F1F5B4D" w14:textId="77777777" w:rsidR="00C0523B" w:rsidRPr="00AE6D93" w:rsidRDefault="00C0523B" w:rsidP="00C0523B">
      <w:pPr>
        <w:pStyle w:val="TOCTitle"/>
      </w:pPr>
      <w:r w:rsidRPr="00AE6D93">
        <w:t>List of Figures</w:t>
      </w:r>
    </w:p>
    <w:p w14:paraId="3A781AE1" w14:textId="5C134DF1" w:rsidR="0028046C" w:rsidRPr="0028046C" w:rsidRDefault="003A70B0">
      <w:pPr>
        <w:pStyle w:val="TableofFigures"/>
        <w:rPr>
          <w:rFonts w:ascii="Garamond" w:eastAsiaTheme="minorEastAsia" w:hAnsi="Garamond" w:cstheme="minorBidi"/>
          <w:noProof/>
          <w:sz w:val="22"/>
          <w:szCs w:val="22"/>
          <w:lang w:bidi="ar-SA"/>
        </w:rPr>
      </w:pPr>
      <w:r w:rsidRPr="00AE6D93">
        <w:rPr>
          <w:rFonts w:ascii="Garamond" w:hAnsi="Garamond"/>
        </w:rPr>
        <w:fldChar w:fldCharType="begin"/>
      </w:r>
      <w:r w:rsidR="009331D9" w:rsidRPr="00AE6D93">
        <w:rPr>
          <w:rFonts w:ascii="Garamond" w:hAnsi="Garamond"/>
        </w:rPr>
        <w:instrText xml:space="preserve"> TOC \h \z \t "Figure Title" \c </w:instrText>
      </w:r>
      <w:r w:rsidRPr="00AE6D93">
        <w:rPr>
          <w:rFonts w:ascii="Garamond" w:hAnsi="Garamond"/>
        </w:rPr>
        <w:fldChar w:fldCharType="separate"/>
      </w:r>
      <w:hyperlink w:anchor="_Toc502600923" w:history="1">
        <w:r w:rsidR="0028046C" w:rsidRPr="0028046C">
          <w:rPr>
            <w:rStyle w:val="Hyperlink"/>
            <w:rFonts w:ascii="Garamond" w:hAnsi="Garamond"/>
            <w:noProof/>
          </w:rPr>
          <w:t>Figure 3.1. Total Number of Compliance Checks (2007–2017)</w:t>
        </w:r>
        <w:r w:rsidR="0028046C" w:rsidRPr="0028046C">
          <w:rPr>
            <w:rFonts w:ascii="Garamond" w:hAnsi="Garamond"/>
            <w:noProof/>
            <w:webHidden/>
          </w:rPr>
          <w:tab/>
        </w:r>
        <w:r w:rsidR="0028046C" w:rsidRPr="0028046C">
          <w:rPr>
            <w:rFonts w:ascii="Garamond" w:hAnsi="Garamond"/>
            <w:noProof/>
            <w:webHidden/>
          </w:rPr>
          <w:fldChar w:fldCharType="begin"/>
        </w:r>
        <w:r w:rsidR="0028046C" w:rsidRPr="0028046C">
          <w:rPr>
            <w:rFonts w:ascii="Garamond" w:hAnsi="Garamond"/>
            <w:noProof/>
            <w:webHidden/>
          </w:rPr>
          <w:instrText xml:space="preserve"> PAGEREF _Toc502600923 \h </w:instrText>
        </w:r>
        <w:r w:rsidR="0028046C" w:rsidRPr="0028046C">
          <w:rPr>
            <w:rFonts w:ascii="Garamond" w:hAnsi="Garamond"/>
            <w:noProof/>
            <w:webHidden/>
          </w:rPr>
        </w:r>
        <w:r w:rsidR="0028046C" w:rsidRPr="0028046C">
          <w:rPr>
            <w:rFonts w:ascii="Garamond" w:hAnsi="Garamond"/>
            <w:noProof/>
            <w:webHidden/>
          </w:rPr>
          <w:fldChar w:fldCharType="separate"/>
        </w:r>
        <w:r w:rsidR="00E41573">
          <w:rPr>
            <w:rFonts w:ascii="Garamond" w:hAnsi="Garamond"/>
            <w:noProof/>
            <w:webHidden/>
          </w:rPr>
          <w:t>6</w:t>
        </w:r>
        <w:r w:rsidR="0028046C" w:rsidRPr="0028046C">
          <w:rPr>
            <w:rFonts w:ascii="Garamond" w:hAnsi="Garamond"/>
            <w:noProof/>
            <w:webHidden/>
          </w:rPr>
          <w:fldChar w:fldCharType="end"/>
        </w:r>
      </w:hyperlink>
    </w:p>
    <w:p w14:paraId="2CABF09F" w14:textId="554AC845" w:rsidR="0028046C" w:rsidRPr="0028046C" w:rsidRDefault="005F5812">
      <w:pPr>
        <w:pStyle w:val="TableofFigures"/>
        <w:rPr>
          <w:rFonts w:ascii="Garamond" w:eastAsiaTheme="minorEastAsia" w:hAnsi="Garamond" w:cstheme="minorBidi"/>
          <w:noProof/>
          <w:sz w:val="22"/>
          <w:szCs w:val="22"/>
          <w:lang w:bidi="ar-SA"/>
        </w:rPr>
      </w:pPr>
      <w:hyperlink w:anchor="_Toc502600924" w:history="1">
        <w:r w:rsidR="0028046C" w:rsidRPr="0028046C">
          <w:rPr>
            <w:rStyle w:val="Hyperlink"/>
            <w:rFonts w:ascii="Garamond" w:hAnsi="Garamond"/>
            <w:noProof/>
          </w:rPr>
          <w:t>Figure 3.2. Number of Regions Submitting Alcohol Sales Compliance Checks (2007–2017)</w:t>
        </w:r>
        <w:r w:rsidR="0028046C" w:rsidRPr="0028046C">
          <w:rPr>
            <w:rFonts w:ascii="Garamond" w:hAnsi="Garamond"/>
            <w:noProof/>
            <w:webHidden/>
          </w:rPr>
          <w:tab/>
        </w:r>
        <w:r w:rsidR="0028046C" w:rsidRPr="0028046C">
          <w:rPr>
            <w:rFonts w:ascii="Garamond" w:hAnsi="Garamond"/>
            <w:noProof/>
            <w:webHidden/>
          </w:rPr>
          <w:fldChar w:fldCharType="begin"/>
        </w:r>
        <w:r w:rsidR="0028046C" w:rsidRPr="0028046C">
          <w:rPr>
            <w:rFonts w:ascii="Garamond" w:hAnsi="Garamond"/>
            <w:noProof/>
            <w:webHidden/>
          </w:rPr>
          <w:instrText xml:space="preserve"> PAGEREF _Toc502600924 \h </w:instrText>
        </w:r>
        <w:r w:rsidR="0028046C" w:rsidRPr="0028046C">
          <w:rPr>
            <w:rFonts w:ascii="Garamond" w:hAnsi="Garamond"/>
            <w:noProof/>
            <w:webHidden/>
          </w:rPr>
        </w:r>
        <w:r w:rsidR="0028046C" w:rsidRPr="0028046C">
          <w:rPr>
            <w:rFonts w:ascii="Garamond" w:hAnsi="Garamond"/>
            <w:noProof/>
            <w:webHidden/>
          </w:rPr>
          <w:fldChar w:fldCharType="separate"/>
        </w:r>
        <w:r w:rsidR="00E41573">
          <w:rPr>
            <w:rFonts w:ascii="Garamond" w:hAnsi="Garamond"/>
            <w:noProof/>
            <w:webHidden/>
          </w:rPr>
          <w:t>7</w:t>
        </w:r>
        <w:r w:rsidR="0028046C" w:rsidRPr="0028046C">
          <w:rPr>
            <w:rFonts w:ascii="Garamond" w:hAnsi="Garamond"/>
            <w:noProof/>
            <w:webHidden/>
          </w:rPr>
          <w:fldChar w:fldCharType="end"/>
        </w:r>
      </w:hyperlink>
    </w:p>
    <w:p w14:paraId="5B3AD728" w14:textId="378C8B92" w:rsidR="0028046C" w:rsidRPr="0028046C" w:rsidRDefault="005F5812">
      <w:pPr>
        <w:pStyle w:val="TableofFigures"/>
        <w:rPr>
          <w:rFonts w:ascii="Garamond" w:eastAsiaTheme="minorEastAsia" w:hAnsi="Garamond" w:cstheme="minorBidi"/>
          <w:noProof/>
          <w:sz w:val="22"/>
          <w:szCs w:val="22"/>
          <w:lang w:bidi="ar-SA"/>
        </w:rPr>
      </w:pPr>
      <w:hyperlink w:anchor="_Toc502600925" w:history="1">
        <w:r w:rsidR="0028046C" w:rsidRPr="0028046C">
          <w:rPr>
            <w:rStyle w:val="Hyperlink"/>
            <w:rFonts w:ascii="Garamond" w:hAnsi="Garamond"/>
            <w:noProof/>
          </w:rPr>
          <w:t>Figure 3.3. Number of Regions Submitting Tobacco Sales Compliance Checks (2007–2017)</w:t>
        </w:r>
        <w:r w:rsidR="0028046C" w:rsidRPr="0028046C">
          <w:rPr>
            <w:rFonts w:ascii="Garamond" w:hAnsi="Garamond"/>
            <w:noProof/>
            <w:webHidden/>
          </w:rPr>
          <w:tab/>
        </w:r>
        <w:r w:rsidR="0028046C" w:rsidRPr="0028046C">
          <w:rPr>
            <w:rFonts w:ascii="Garamond" w:hAnsi="Garamond"/>
            <w:noProof/>
            <w:webHidden/>
          </w:rPr>
          <w:fldChar w:fldCharType="begin"/>
        </w:r>
        <w:r w:rsidR="0028046C" w:rsidRPr="0028046C">
          <w:rPr>
            <w:rFonts w:ascii="Garamond" w:hAnsi="Garamond"/>
            <w:noProof/>
            <w:webHidden/>
          </w:rPr>
          <w:instrText xml:space="preserve"> PAGEREF _Toc502600925 \h </w:instrText>
        </w:r>
        <w:r w:rsidR="0028046C" w:rsidRPr="0028046C">
          <w:rPr>
            <w:rFonts w:ascii="Garamond" w:hAnsi="Garamond"/>
            <w:noProof/>
            <w:webHidden/>
          </w:rPr>
        </w:r>
        <w:r w:rsidR="0028046C" w:rsidRPr="0028046C">
          <w:rPr>
            <w:rFonts w:ascii="Garamond" w:hAnsi="Garamond"/>
            <w:noProof/>
            <w:webHidden/>
          </w:rPr>
          <w:fldChar w:fldCharType="separate"/>
        </w:r>
        <w:r w:rsidR="00E41573">
          <w:rPr>
            <w:rFonts w:ascii="Garamond" w:hAnsi="Garamond"/>
            <w:noProof/>
            <w:webHidden/>
          </w:rPr>
          <w:t>12</w:t>
        </w:r>
        <w:r w:rsidR="0028046C" w:rsidRPr="0028046C">
          <w:rPr>
            <w:rFonts w:ascii="Garamond" w:hAnsi="Garamond"/>
            <w:noProof/>
            <w:webHidden/>
          </w:rPr>
          <w:fldChar w:fldCharType="end"/>
        </w:r>
      </w:hyperlink>
    </w:p>
    <w:p w14:paraId="3333F827" w14:textId="48FD5A25" w:rsidR="00C0523B" w:rsidRPr="00AE6D93" w:rsidRDefault="003A70B0" w:rsidP="00892531">
      <w:pPr>
        <w:spacing w:after="60"/>
        <w:rPr>
          <w:rFonts w:ascii="Garamond" w:hAnsi="Garamond"/>
        </w:rPr>
      </w:pPr>
      <w:r w:rsidRPr="00AE6D93">
        <w:rPr>
          <w:rFonts w:ascii="Garamond" w:hAnsi="Garamond"/>
        </w:rPr>
        <w:fldChar w:fldCharType="end"/>
      </w:r>
    </w:p>
    <w:p w14:paraId="6BC3AF1B" w14:textId="77777777" w:rsidR="000A0351" w:rsidRDefault="000A0351" w:rsidP="00C0523B"/>
    <w:p w14:paraId="4D218ED3" w14:textId="77777777" w:rsidR="00C0523B" w:rsidRDefault="00C0523B" w:rsidP="00C0523B"/>
    <w:p w14:paraId="1B7123C6" w14:textId="77777777" w:rsidR="00C0523B" w:rsidRDefault="00C0523B" w:rsidP="00AF332E">
      <w:pPr>
        <w:pStyle w:val="Page1Title"/>
        <w:sectPr w:rsidR="00C0523B" w:rsidSect="00C575F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E7624B7" w14:textId="49A7CACD" w:rsidR="00F2501D" w:rsidRDefault="00034DC4" w:rsidP="00AF332E">
      <w:pPr>
        <w:pStyle w:val="Page1Title"/>
      </w:pPr>
      <w:r>
        <w:lastRenderedPageBreak/>
        <w:t xml:space="preserve">Wyoming Alcohol and Tobacco </w:t>
      </w:r>
      <w:r w:rsidR="00562651">
        <w:t xml:space="preserve">Sales </w:t>
      </w:r>
      <w:r>
        <w:t>Compliance Checks, 20</w:t>
      </w:r>
      <w:r w:rsidR="00BA52E3">
        <w:t>1</w:t>
      </w:r>
      <w:r w:rsidR="00C575F7">
        <w:t>7</w:t>
      </w:r>
    </w:p>
    <w:p w14:paraId="756B6CC0" w14:textId="77777777" w:rsidR="003A67FE" w:rsidRPr="003A67FE" w:rsidRDefault="003A67FE" w:rsidP="00FD13B5">
      <w:pPr>
        <w:pStyle w:val="BodyText"/>
      </w:pPr>
    </w:p>
    <w:p w14:paraId="3537EDA6" w14:textId="77777777" w:rsidR="00034DC4" w:rsidRDefault="00034DC4" w:rsidP="00034DC4">
      <w:pPr>
        <w:pStyle w:val="Heading1"/>
      </w:pPr>
      <w:bookmarkStart w:id="3" w:name="_Toc162230309"/>
      <w:bookmarkStart w:id="4" w:name="_Toc162230401"/>
      <w:bookmarkStart w:id="5" w:name="_Toc177364224"/>
      <w:bookmarkStart w:id="6" w:name="_Toc502600909"/>
      <w:r>
        <w:t>Summary</w:t>
      </w:r>
      <w:bookmarkEnd w:id="3"/>
      <w:bookmarkEnd w:id="4"/>
      <w:bookmarkEnd w:id="5"/>
      <w:bookmarkEnd w:id="6"/>
    </w:p>
    <w:p w14:paraId="3DA4C25C" w14:textId="5BC15B8F" w:rsidR="00034DC4" w:rsidRDefault="00034DC4" w:rsidP="00F4751E">
      <w:pPr>
        <w:pStyle w:val="BodyText"/>
        <w:jc w:val="both"/>
      </w:pPr>
      <w:r>
        <w:t xml:space="preserve">In </w:t>
      </w:r>
      <w:r w:rsidR="008B4D2E" w:rsidRPr="00022403">
        <w:t>August</w:t>
      </w:r>
      <w:r w:rsidR="00C22029" w:rsidRPr="008B4D2E">
        <w:t xml:space="preserve"> 201</w:t>
      </w:r>
      <w:r w:rsidR="00C575F7">
        <w:t>7</w:t>
      </w:r>
      <w:r w:rsidRPr="008B4D2E">
        <w:t xml:space="preserve"> th</w:t>
      </w:r>
      <w:r>
        <w:t xml:space="preserve">e Wyoming Association of </w:t>
      </w:r>
      <w:r w:rsidR="001B5358">
        <w:t>Sheriffs</w:t>
      </w:r>
      <w:r>
        <w:t xml:space="preserve"> and </w:t>
      </w:r>
      <w:r w:rsidR="001B5358">
        <w:t>Chiefs</w:t>
      </w:r>
      <w:r>
        <w:t xml:space="preserve"> of Police</w:t>
      </w:r>
      <w:r w:rsidR="00414AD1">
        <w:t xml:space="preserve"> (WASC</w:t>
      </w:r>
      <w:r w:rsidR="00493045">
        <w:t>O</w:t>
      </w:r>
      <w:r w:rsidR="00414AD1">
        <w:t>P)</w:t>
      </w:r>
      <w:r w:rsidR="007E5812">
        <w:t xml:space="preserve"> engaged </w:t>
      </w:r>
      <w:r>
        <w:t>the Wyoming Survey &amp; Anal</w:t>
      </w:r>
      <w:r w:rsidR="0028285E">
        <w:t xml:space="preserve">ysis Center (WYSAC) to </w:t>
      </w:r>
      <w:r w:rsidR="007E5812">
        <w:t>complete data entry, analysis</w:t>
      </w:r>
      <w:r w:rsidR="00694D3D">
        <w:t>,</w:t>
      </w:r>
      <w:r w:rsidR="007E5812">
        <w:t xml:space="preserve"> and reporting for</w:t>
      </w:r>
      <w:r w:rsidR="0028285E">
        <w:t xml:space="preserve"> </w:t>
      </w:r>
      <w:r w:rsidR="007E5812">
        <w:t xml:space="preserve">the annual </w:t>
      </w:r>
      <w:r w:rsidR="00F71603">
        <w:t xml:space="preserve">alcohol </w:t>
      </w:r>
      <w:r w:rsidR="003627D5">
        <w:t xml:space="preserve">and tobacco </w:t>
      </w:r>
      <w:r w:rsidR="00AA5CC1">
        <w:t xml:space="preserve">sales </w:t>
      </w:r>
      <w:r w:rsidR="00F71603">
        <w:t xml:space="preserve">compliance inspection </w:t>
      </w:r>
      <w:r w:rsidR="007E5812">
        <w:t xml:space="preserve">checks performed by Wyoming police officers. </w:t>
      </w:r>
      <w:r w:rsidR="00253DD6">
        <w:t xml:space="preserve">This marks the </w:t>
      </w:r>
      <w:r w:rsidR="007F6561">
        <w:t>ninth</w:t>
      </w:r>
      <w:r w:rsidR="00253DD6">
        <w:t xml:space="preserve"> consecutive year </w:t>
      </w:r>
      <w:r w:rsidR="007E5812">
        <w:t xml:space="preserve">that </w:t>
      </w:r>
      <w:r w:rsidR="00253DD6">
        <w:t xml:space="preserve">WYSAC has handled this project. </w:t>
      </w:r>
    </w:p>
    <w:p w14:paraId="74C12114" w14:textId="7E1E32A6" w:rsidR="00034DC4" w:rsidRDefault="00CE02E1" w:rsidP="00F4751E">
      <w:pPr>
        <w:pStyle w:val="BodyText"/>
        <w:jc w:val="both"/>
      </w:pPr>
      <w:r>
        <w:t xml:space="preserve">Data entry began in </w:t>
      </w:r>
      <w:r w:rsidR="00C575F7">
        <w:t>October</w:t>
      </w:r>
      <w:r>
        <w:t xml:space="preserve"> </w:t>
      </w:r>
      <w:r w:rsidR="00034DC4">
        <w:t xml:space="preserve">and concluded </w:t>
      </w:r>
      <w:r w:rsidR="00C67C47">
        <w:t>in</w:t>
      </w:r>
      <w:r w:rsidR="00493045">
        <w:t xml:space="preserve"> </w:t>
      </w:r>
      <w:r w:rsidR="00022403">
        <w:t>December</w:t>
      </w:r>
      <w:r w:rsidR="00034DC4" w:rsidRPr="00C22029">
        <w:t xml:space="preserve"> 20</w:t>
      </w:r>
      <w:r w:rsidR="00493045" w:rsidRPr="00C22029">
        <w:t>1</w:t>
      </w:r>
      <w:r w:rsidR="00C575F7">
        <w:t>7</w:t>
      </w:r>
      <w:r w:rsidR="00034DC4" w:rsidRPr="00C22029">
        <w:t>.</w:t>
      </w:r>
      <w:r w:rsidR="00AF4089">
        <w:t xml:space="preserve"> </w:t>
      </w:r>
      <w:r w:rsidR="00034DC4">
        <w:t xml:space="preserve">After </w:t>
      </w:r>
      <w:r w:rsidR="007E5812">
        <w:t>all</w:t>
      </w:r>
      <w:r w:rsidR="00034DC4">
        <w:t xml:space="preserve"> inspection forms were </w:t>
      </w:r>
      <w:r w:rsidR="00211877">
        <w:t>entered</w:t>
      </w:r>
      <w:r w:rsidR="004F0472">
        <w:t xml:space="preserve"> into a data</w:t>
      </w:r>
      <w:r w:rsidR="007E5812">
        <w:t>base</w:t>
      </w:r>
      <w:r w:rsidR="009E02ED">
        <w:t>,</w:t>
      </w:r>
      <w:r w:rsidR="00211877">
        <w:t xml:space="preserve"> the data </w:t>
      </w:r>
      <w:r w:rsidR="005F6A28">
        <w:t>were</w:t>
      </w:r>
      <w:r w:rsidR="00211877">
        <w:t xml:space="preserve"> </w:t>
      </w:r>
      <w:r w:rsidR="008C1D28">
        <w:t xml:space="preserve">cleaned and then </w:t>
      </w:r>
      <w:r w:rsidR="00211877" w:rsidRPr="00FB727B">
        <w:t>analyzed</w:t>
      </w:r>
      <w:r w:rsidR="00034DC4" w:rsidRPr="00FB727B">
        <w:t>.</w:t>
      </w:r>
      <w:r w:rsidR="00211877" w:rsidRPr="00FB727B">
        <w:t xml:space="preserve"> </w:t>
      </w:r>
      <w:r w:rsidR="007E5812" w:rsidRPr="00FB727B">
        <w:t>The results are s</w:t>
      </w:r>
      <w:r w:rsidR="00211877" w:rsidRPr="00FB727B">
        <w:t>ummar</w:t>
      </w:r>
      <w:r w:rsidR="007E5812" w:rsidRPr="00FB727B">
        <w:t>ized in</w:t>
      </w:r>
      <w:r w:rsidR="00211877" w:rsidRPr="00FB727B">
        <w:t xml:space="preserve"> tables found in </w:t>
      </w:r>
      <w:r w:rsidR="0028285E" w:rsidRPr="00FB727B">
        <w:t>Section 3 of this report</w:t>
      </w:r>
      <w:r w:rsidR="00211877" w:rsidRPr="00FB727B">
        <w:t>.</w:t>
      </w:r>
      <w:r w:rsidR="00034DC4" w:rsidRPr="00FB727B">
        <w:t xml:space="preserve"> A total of </w:t>
      </w:r>
      <w:r w:rsidR="00022403">
        <w:t>1,2</w:t>
      </w:r>
      <w:r w:rsidR="00CF7256">
        <w:t>92</w:t>
      </w:r>
      <w:r w:rsidR="009B73BB" w:rsidRPr="00FB727B">
        <w:t xml:space="preserve"> alcohol </w:t>
      </w:r>
      <w:r w:rsidR="00034DC4" w:rsidRPr="00FB727B">
        <w:t xml:space="preserve">and </w:t>
      </w:r>
      <w:r w:rsidR="00C575F7">
        <w:t>856</w:t>
      </w:r>
      <w:r w:rsidR="00FD2660" w:rsidRPr="00FB727B">
        <w:t xml:space="preserve"> </w:t>
      </w:r>
      <w:r w:rsidR="009B73BB" w:rsidRPr="00FB727B">
        <w:t xml:space="preserve">tobacco </w:t>
      </w:r>
      <w:r w:rsidR="00C22029" w:rsidRPr="00FB727B">
        <w:t xml:space="preserve">sales compliance </w:t>
      </w:r>
      <w:r w:rsidR="00034DC4" w:rsidRPr="00FB727B">
        <w:t>inspection forms were</w:t>
      </w:r>
      <w:r w:rsidR="000A0351" w:rsidRPr="00FB727B">
        <w:t xml:space="preserve"> </w:t>
      </w:r>
      <w:r w:rsidR="007E5812" w:rsidRPr="00FB727B">
        <w:t>received by WYSAC and entered in the database</w:t>
      </w:r>
      <w:r w:rsidR="00EC69FD" w:rsidRPr="00FB727B">
        <w:t>. Of those</w:t>
      </w:r>
      <w:r w:rsidR="00EC69FD" w:rsidRPr="00EF0279">
        <w:t>,</w:t>
      </w:r>
      <w:r w:rsidR="00CA7930">
        <w:t xml:space="preserve"> </w:t>
      </w:r>
      <w:r w:rsidR="00022403" w:rsidRPr="00022403">
        <w:t>1,2</w:t>
      </w:r>
      <w:r w:rsidR="00CF7256">
        <w:t>30</w:t>
      </w:r>
      <w:r w:rsidR="009B73BB" w:rsidRPr="00022403">
        <w:t xml:space="preserve"> </w:t>
      </w:r>
      <w:r w:rsidR="00F464B7" w:rsidRPr="00022403">
        <w:t>(</w:t>
      </w:r>
      <w:r w:rsidR="00FB451C" w:rsidRPr="00022403">
        <w:t>9</w:t>
      </w:r>
      <w:r w:rsidR="00022403" w:rsidRPr="00022403">
        <w:t>5</w:t>
      </w:r>
      <w:r w:rsidR="00FB451C" w:rsidRPr="00022403">
        <w:t>.2</w:t>
      </w:r>
      <w:r w:rsidR="00F464B7" w:rsidRPr="00022403">
        <w:t>%)</w:t>
      </w:r>
      <w:r w:rsidR="00F464B7" w:rsidRPr="00FB451C">
        <w:t xml:space="preserve"> </w:t>
      </w:r>
      <w:r w:rsidR="009B73BB" w:rsidRPr="00FB451C">
        <w:t xml:space="preserve">alcohol </w:t>
      </w:r>
      <w:r w:rsidR="009B73BB" w:rsidRPr="00FB727B">
        <w:t>and</w:t>
      </w:r>
      <w:r w:rsidR="003D2EF7" w:rsidRPr="00FB727B">
        <w:t xml:space="preserve"> </w:t>
      </w:r>
      <w:r w:rsidR="00C575F7">
        <w:t>827</w:t>
      </w:r>
      <w:r w:rsidR="00FD2660" w:rsidRPr="00FB727B">
        <w:t xml:space="preserve"> </w:t>
      </w:r>
      <w:r w:rsidR="00F464B7" w:rsidRPr="00FB727B">
        <w:t>(9</w:t>
      </w:r>
      <w:r w:rsidR="00C575F7">
        <w:t>6</w:t>
      </w:r>
      <w:r w:rsidR="00F464B7" w:rsidRPr="00FB727B">
        <w:t>.</w:t>
      </w:r>
      <w:r w:rsidR="00C575F7">
        <w:t>6</w:t>
      </w:r>
      <w:r w:rsidR="00F464B7" w:rsidRPr="00FB727B">
        <w:t xml:space="preserve">%) </w:t>
      </w:r>
      <w:r w:rsidR="009B73BB" w:rsidRPr="00FB727B">
        <w:t xml:space="preserve">tobacco forms were </w:t>
      </w:r>
      <w:r w:rsidR="007E5812" w:rsidRPr="00FB727B">
        <w:t>determined</w:t>
      </w:r>
      <w:r w:rsidR="009B73BB" w:rsidRPr="00FB727B">
        <w:t xml:space="preserve"> to be valid</w:t>
      </w:r>
      <w:r w:rsidR="00034DC4" w:rsidRPr="00FB727B">
        <w:t xml:space="preserve"> and</w:t>
      </w:r>
      <w:r w:rsidR="009B73BB" w:rsidRPr="00FB727B">
        <w:t xml:space="preserve"> subsequently</w:t>
      </w:r>
      <w:r w:rsidR="00034DC4" w:rsidRPr="00FB727B">
        <w:t xml:space="preserve"> </w:t>
      </w:r>
      <w:r w:rsidR="009B73BB" w:rsidRPr="00FB727B">
        <w:t xml:space="preserve">included in </w:t>
      </w:r>
      <w:r w:rsidR="007E5812" w:rsidRPr="00FB727B">
        <w:t xml:space="preserve">the </w:t>
      </w:r>
      <w:r w:rsidR="009B73BB" w:rsidRPr="00FB727B">
        <w:t>analys</w:t>
      </w:r>
      <w:r w:rsidR="008C1D28" w:rsidRPr="00FB727B">
        <w:t>e</w:t>
      </w:r>
      <w:r w:rsidR="009B73BB" w:rsidRPr="00FB727B">
        <w:t>s</w:t>
      </w:r>
      <w:r w:rsidR="00034DC4" w:rsidRPr="00FB727B">
        <w:t>.</w:t>
      </w:r>
      <w:r w:rsidR="00034DC4">
        <w:t xml:space="preserve"> </w:t>
      </w:r>
    </w:p>
    <w:p w14:paraId="301EFE6B" w14:textId="77B4AE2D" w:rsidR="00715A2B" w:rsidRDefault="008C1D28" w:rsidP="00F4751E">
      <w:pPr>
        <w:pStyle w:val="BodyText"/>
        <w:jc w:val="both"/>
      </w:pPr>
      <w:r>
        <w:t xml:space="preserve">The </w:t>
      </w:r>
      <w:r w:rsidR="00715A2B">
        <w:t xml:space="preserve">analyses show that, for </w:t>
      </w:r>
      <w:r w:rsidR="0035007C" w:rsidRPr="00FB727B">
        <w:t xml:space="preserve">all </w:t>
      </w:r>
      <w:r w:rsidR="00715A2B" w:rsidRPr="00FB727B">
        <w:t xml:space="preserve">businesses </w:t>
      </w:r>
      <w:r w:rsidRPr="00FB727B">
        <w:t>where valid checks were completed</w:t>
      </w:r>
      <w:r w:rsidR="00715A2B" w:rsidRPr="00FB727B">
        <w:t xml:space="preserve">, the overall compliance rate </w:t>
      </w:r>
      <w:r w:rsidR="005A57EE" w:rsidRPr="00FB727B">
        <w:t xml:space="preserve">was </w:t>
      </w:r>
      <w:r w:rsidR="00F97C5B" w:rsidRPr="00022403">
        <w:t>8</w:t>
      </w:r>
      <w:r w:rsidR="00022403" w:rsidRPr="00022403">
        <w:t>5</w:t>
      </w:r>
      <w:r w:rsidR="00FB727B" w:rsidRPr="00022403">
        <w:t>.</w:t>
      </w:r>
      <w:r w:rsidR="00022403" w:rsidRPr="00022403">
        <w:t>4</w:t>
      </w:r>
      <w:r w:rsidR="005A57EE" w:rsidRPr="00022403">
        <w:t>%</w:t>
      </w:r>
      <w:r w:rsidR="005A57EE" w:rsidRPr="00FB727B">
        <w:t xml:space="preserve"> for</w:t>
      </w:r>
      <w:r w:rsidR="00715A2B" w:rsidRPr="00FB727B">
        <w:t xml:space="preserve"> alcohol sales </w:t>
      </w:r>
      <w:r w:rsidR="009E153E" w:rsidRPr="00FB727B">
        <w:t xml:space="preserve">and </w:t>
      </w:r>
      <w:r w:rsidR="00AF33F7" w:rsidRPr="00FB727B">
        <w:t>9</w:t>
      </w:r>
      <w:r w:rsidR="00FB727B" w:rsidRPr="00FB727B">
        <w:t>1</w:t>
      </w:r>
      <w:r w:rsidR="00AF33F7" w:rsidRPr="00FB727B">
        <w:t>.</w:t>
      </w:r>
      <w:r w:rsidR="00C575F7">
        <w:t>9</w:t>
      </w:r>
      <w:r w:rsidR="00D60DDE" w:rsidRPr="00FB727B">
        <w:t>%</w:t>
      </w:r>
      <w:r w:rsidR="005A57EE" w:rsidRPr="00FB727B">
        <w:t xml:space="preserve"> </w:t>
      </w:r>
      <w:r w:rsidR="009E153E" w:rsidRPr="00FB727B">
        <w:t>for</w:t>
      </w:r>
      <w:r w:rsidR="00CC439D" w:rsidRPr="00FB727B">
        <w:t xml:space="preserve"> t</w:t>
      </w:r>
      <w:r w:rsidR="005A57EE" w:rsidRPr="00FB727B">
        <w:t>obacco</w:t>
      </w:r>
      <w:r w:rsidR="005A57EE">
        <w:t xml:space="preserve"> sales</w:t>
      </w:r>
      <w:r w:rsidR="00715A2B">
        <w:t>.</w:t>
      </w:r>
    </w:p>
    <w:p w14:paraId="301315FB" w14:textId="77777777" w:rsidR="00034DC4" w:rsidRDefault="00034DC4" w:rsidP="00CD7439">
      <w:pPr>
        <w:pStyle w:val="BodyText"/>
      </w:pPr>
    </w:p>
    <w:p w14:paraId="673F001E" w14:textId="77777777" w:rsidR="00034DC4" w:rsidRDefault="00034DC4" w:rsidP="00034DC4">
      <w:pPr>
        <w:pStyle w:val="Heading1"/>
      </w:pPr>
      <w:bookmarkStart w:id="7" w:name="_Toc162230313"/>
      <w:bookmarkStart w:id="8" w:name="_Toc162230405"/>
      <w:bookmarkStart w:id="9" w:name="_Toc177364225"/>
      <w:bookmarkStart w:id="10" w:name="_Toc502600910"/>
      <w:r>
        <w:t>Metho</w:t>
      </w:r>
      <w:bookmarkEnd w:id="7"/>
      <w:bookmarkEnd w:id="8"/>
      <w:bookmarkEnd w:id="9"/>
      <w:r w:rsidR="002E7CC5">
        <w:t>dology</w:t>
      </w:r>
      <w:bookmarkEnd w:id="10"/>
    </w:p>
    <w:p w14:paraId="76F4791A" w14:textId="77777777" w:rsidR="002E7CC5" w:rsidRDefault="002E7CC5" w:rsidP="002E7CC5">
      <w:pPr>
        <w:pStyle w:val="Heading2"/>
      </w:pPr>
      <w:bookmarkStart w:id="11" w:name="_Toc502600911"/>
      <w:r>
        <w:t>Compliance Checks</w:t>
      </w:r>
      <w:bookmarkEnd w:id="11"/>
    </w:p>
    <w:p w14:paraId="1BD6E477" w14:textId="1099BC51" w:rsidR="002E7CC5" w:rsidRDefault="00714658" w:rsidP="00F4751E">
      <w:pPr>
        <w:pStyle w:val="BodyText"/>
        <w:jc w:val="both"/>
      </w:pPr>
      <w:r>
        <w:t>Police officers in conjunction with an underage youth buyer attempt</w:t>
      </w:r>
      <w:r w:rsidR="00066726">
        <w:t>ed</w:t>
      </w:r>
      <w:r>
        <w:t xml:space="preserve"> alcohol and tobacco purchases statewide. </w:t>
      </w:r>
      <w:r w:rsidR="00A35877">
        <w:t>Checks are most often c</w:t>
      </w:r>
      <w:r w:rsidR="00782CD2">
        <w:t>onducted at brick and mortar stores</w:t>
      </w:r>
      <w:r w:rsidR="00CC439D">
        <w:t>. O</w:t>
      </w:r>
      <w:r w:rsidR="00782CD2">
        <w:t>ccasionally</w:t>
      </w:r>
      <w:r w:rsidR="00CC439D">
        <w:t xml:space="preserve"> in the past</w:t>
      </w:r>
      <w:r w:rsidR="00782CD2">
        <w:t xml:space="preserve"> vendors at special events </w:t>
      </w:r>
      <w:r w:rsidR="00A35877">
        <w:t>(such as the Cheyenne Frontier Days) have</w:t>
      </w:r>
      <w:r w:rsidR="008C1D28">
        <w:t xml:space="preserve"> </w:t>
      </w:r>
      <w:r w:rsidR="00782CD2">
        <w:t xml:space="preserve">also </w:t>
      </w:r>
      <w:r w:rsidR="00A35877">
        <w:t xml:space="preserve">been </w:t>
      </w:r>
      <w:r w:rsidR="00782CD2">
        <w:t xml:space="preserve">checked. </w:t>
      </w:r>
      <w:r>
        <w:t xml:space="preserve">Aside from the </w:t>
      </w:r>
      <w:r w:rsidR="00066726">
        <w:t xml:space="preserve">type of </w:t>
      </w:r>
      <w:r>
        <w:t>item purchased, t</w:t>
      </w:r>
      <w:r w:rsidR="00B43AB4">
        <w:t xml:space="preserve">he </w:t>
      </w:r>
      <w:r w:rsidR="00726C09">
        <w:t>protocol</w:t>
      </w:r>
      <w:r w:rsidR="00B43AB4">
        <w:t xml:space="preserve"> for completing </w:t>
      </w:r>
      <w:r>
        <w:t xml:space="preserve">these </w:t>
      </w:r>
      <w:r w:rsidR="00B43AB4">
        <w:t xml:space="preserve">checks </w:t>
      </w:r>
      <w:r w:rsidR="00066726">
        <w:t>is</w:t>
      </w:r>
      <w:r w:rsidR="00B43AB4">
        <w:t xml:space="preserve"> the same for both alcohol and tobacco </w:t>
      </w:r>
      <w:r>
        <w:t>sales</w:t>
      </w:r>
      <w:r w:rsidR="00B43AB4">
        <w:t xml:space="preserve">. </w:t>
      </w:r>
      <w:r w:rsidR="00726C09">
        <w:t>It</w:t>
      </w:r>
      <w:r w:rsidR="00B43AB4">
        <w:t xml:space="preserve"> </w:t>
      </w:r>
      <w:r w:rsidR="00726C09">
        <w:t>involves</w:t>
      </w:r>
      <w:r w:rsidR="00FD13B5">
        <w:t xml:space="preserve"> </w:t>
      </w:r>
      <w:r w:rsidR="00B43AB4">
        <w:t>criminal compliance checks, which are “</w:t>
      </w:r>
      <w:r w:rsidR="002E7CC5">
        <w:t>used to educate, encourage compliance</w:t>
      </w:r>
      <w:r w:rsidR="003627D5">
        <w:t>,</w:t>
      </w:r>
      <w:r w:rsidR="002E7CC5">
        <w:t xml:space="preserve"> and penalize non-compliance. These operations consist of prosecuting individuals for age-of-sale law violations through the court system.”</w:t>
      </w:r>
      <w:r w:rsidR="002E7CC5" w:rsidRPr="00CF7256">
        <w:rPr>
          <w:rStyle w:val="FootnoteReference"/>
        </w:rPr>
        <w:footnoteReference w:id="1"/>
      </w:r>
      <w:r w:rsidR="002E7CC5">
        <w:t xml:space="preserve"> </w:t>
      </w:r>
    </w:p>
    <w:p w14:paraId="1E077330" w14:textId="77777777" w:rsidR="00066726" w:rsidRDefault="00066726" w:rsidP="00F4751E">
      <w:pPr>
        <w:pStyle w:val="BodyText"/>
        <w:spacing w:after="120"/>
        <w:jc w:val="both"/>
      </w:pPr>
      <w:r>
        <w:t xml:space="preserve">Prior to </w:t>
      </w:r>
      <w:r w:rsidR="00F4751E">
        <w:t xml:space="preserve">any </w:t>
      </w:r>
      <w:r>
        <w:t xml:space="preserve">compliance check purchase attempt, the youth buyer </w:t>
      </w:r>
      <w:r w:rsidR="00726C09">
        <w:t>is</w:t>
      </w:r>
      <w:r>
        <w:t>:</w:t>
      </w:r>
    </w:p>
    <w:p w14:paraId="1EDAB6A1" w14:textId="77777777" w:rsidR="00066726" w:rsidRDefault="00066726" w:rsidP="00F4751E">
      <w:pPr>
        <w:pStyle w:val="BodyText"/>
        <w:numPr>
          <w:ilvl w:val="0"/>
          <w:numId w:val="22"/>
        </w:numPr>
        <w:spacing w:after="0"/>
        <w:jc w:val="both"/>
      </w:pPr>
      <w:r>
        <w:t>Photographed,</w:t>
      </w:r>
    </w:p>
    <w:p w14:paraId="479D0F30" w14:textId="77777777" w:rsidR="00066726" w:rsidRDefault="00066726" w:rsidP="00F4751E">
      <w:pPr>
        <w:pStyle w:val="BodyText"/>
        <w:numPr>
          <w:ilvl w:val="0"/>
          <w:numId w:val="22"/>
        </w:numPr>
        <w:spacing w:after="0"/>
        <w:jc w:val="both"/>
      </w:pPr>
      <w:r>
        <w:t>Searched for additional cash or</w:t>
      </w:r>
      <w:r w:rsidR="00F4751E">
        <w:t xml:space="preserve"> alternative identification, </w:t>
      </w:r>
    </w:p>
    <w:p w14:paraId="6F5C6FF6" w14:textId="77777777" w:rsidR="00066726" w:rsidRDefault="00066726" w:rsidP="00F4751E">
      <w:pPr>
        <w:pStyle w:val="BodyText"/>
        <w:numPr>
          <w:ilvl w:val="0"/>
          <w:numId w:val="22"/>
        </w:numPr>
        <w:spacing w:after="0"/>
        <w:jc w:val="both"/>
      </w:pPr>
      <w:r>
        <w:t>Taught the state or local statute explaining the law regarding underage purchasing</w:t>
      </w:r>
      <w:r w:rsidR="00F4751E">
        <w:t>, and</w:t>
      </w:r>
    </w:p>
    <w:p w14:paraId="4840342A" w14:textId="77777777" w:rsidR="00F4751E" w:rsidRDefault="00F4751E" w:rsidP="00F4751E">
      <w:pPr>
        <w:pStyle w:val="BodyText"/>
        <w:numPr>
          <w:ilvl w:val="0"/>
          <w:numId w:val="22"/>
        </w:numPr>
        <w:spacing w:after="0"/>
        <w:jc w:val="both"/>
      </w:pPr>
      <w:r>
        <w:t>Instructed to stay in line of sight of accompanying officers</w:t>
      </w:r>
    </w:p>
    <w:p w14:paraId="621E1C94" w14:textId="77777777" w:rsidR="00066726" w:rsidRDefault="00066726" w:rsidP="00F4751E">
      <w:pPr>
        <w:pStyle w:val="BodyText"/>
        <w:spacing w:after="0"/>
        <w:jc w:val="both"/>
      </w:pPr>
    </w:p>
    <w:p w14:paraId="383B3421" w14:textId="77777777" w:rsidR="002E7CC5" w:rsidRDefault="00F4751E" w:rsidP="00F4751E">
      <w:pPr>
        <w:pStyle w:val="BodyText"/>
        <w:jc w:val="both"/>
      </w:pPr>
      <w:r>
        <w:t xml:space="preserve">The item to be purchased (i.e., bottle of Bud Light, pack of Marlboro Blues) </w:t>
      </w:r>
      <w:r w:rsidR="00726C09">
        <w:t>i</w:t>
      </w:r>
      <w:r>
        <w:t>s established beforehand.</w:t>
      </w:r>
      <w:r w:rsidR="008E7C75">
        <w:t xml:space="preserve"> </w:t>
      </w:r>
      <w:r w:rsidR="00066726">
        <w:t xml:space="preserve">During buy attempts it </w:t>
      </w:r>
      <w:r w:rsidR="00726C09">
        <w:t>i</w:t>
      </w:r>
      <w:r w:rsidR="00066726">
        <w:t>s p</w:t>
      </w:r>
      <w:r w:rsidR="002E7CC5">
        <w:t>referabl</w:t>
      </w:r>
      <w:r w:rsidR="000404D9">
        <w:t>e</w:t>
      </w:r>
      <w:r w:rsidR="002E7CC5">
        <w:t xml:space="preserve"> </w:t>
      </w:r>
      <w:r>
        <w:t>for</w:t>
      </w:r>
      <w:r w:rsidR="00066726">
        <w:t xml:space="preserve"> </w:t>
      </w:r>
      <w:r w:rsidR="002E7CC5">
        <w:t>two officers</w:t>
      </w:r>
      <w:r>
        <w:t xml:space="preserve"> to</w:t>
      </w:r>
      <w:r w:rsidR="002E7CC5">
        <w:t xml:space="preserve"> accompany the youth buyer</w:t>
      </w:r>
      <w:r>
        <w:t>,</w:t>
      </w:r>
      <w:r w:rsidR="002E7CC5">
        <w:t xml:space="preserve"> </w:t>
      </w:r>
      <w:r>
        <w:t>t</w:t>
      </w:r>
      <w:r w:rsidR="00066726">
        <w:t>hough</w:t>
      </w:r>
      <w:r w:rsidR="002E7CC5">
        <w:t xml:space="preserve"> this </w:t>
      </w:r>
      <w:r w:rsidR="00726C09">
        <w:t>i</w:t>
      </w:r>
      <w:r w:rsidR="000404D9">
        <w:t xml:space="preserve">s </w:t>
      </w:r>
      <w:r w:rsidR="002E7CC5">
        <w:t xml:space="preserve">not </w:t>
      </w:r>
      <w:r w:rsidR="00066726">
        <w:t xml:space="preserve">always </w:t>
      </w:r>
      <w:r>
        <w:t>a viable</w:t>
      </w:r>
      <w:r w:rsidR="002E7CC5">
        <w:t xml:space="preserve"> option due to small precincts and other engagements of officers. </w:t>
      </w:r>
      <w:r w:rsidR="00726C09">
        <w:t>Buyers carry</w:t>
      </w:r>
      <w:r>
        <w:t xml:space="preserve"> their </w:t>
      </w:r>
      <w:r>
        <w:lastRenderedPageBreak/>
        <w:t>own person</w:t>
      </w:r>
      <w:r w:rsidR="008E7C75">
        <w:t>al</w:t>
      </w:r>
      <w:r>
        <w:t xml:space="preserve"> identification, often a Wyoming driver’s license, and </w:t>
      </w:r>
      <w:r w:rsidR="00726C09">
        <w:t>are</w:t>
      </w:r>
      <w:r>
        <w:t xml:space="preserve"> instructed to present it to any requesting clerks. If a purchase attempt </w:t>
      </w:r>
      <w:r w:rsidR="00726C09">
        <w:t>i</w:t>
      </w:r>
      <w:r w:rsidR="005A57EE">
        <w:t>s successful</w:t>
      </w:r>
      <w:r>
        <w:t xml:space="preserve"> the clerk </w:t>
      </w:r>
      <w:r w:rsidR="00726C09">
        <w:t>i</w:t>
      </w:r>
      <w:r>
        <w:t xml:space="preserve">s issued a citation, or, less often, they </w:t>
      </w:r>
      <w:r w:rsidR="00726C09">
        <w:t>a</w:t>
      </w:r>
      <w:r>
        <w:t xml:space="preserve">re issued a warning. </w:t>
      </w:r>
    </w:p>
    <w:p w14:paraId="524BB213" w14:textId="630D22E7" w:rsidR="00B43AB4" w:rsidRDefault="000404D9" w:rsidP="00B43AB4">
      <w:pPr>
        <w:pStyle w:val="BodyText"/>
        <w:spacing w:after="120"/>
      </w:pPr>
      <w:r>
        <w:t>The</w:t>
      </w:r>
      <w:r w:rsidR="00066726">
        <w:t xml:space="preserve"> a</w:t>
      </w:r>
      <w:r w:rsidR="00714658">
        <w:t xml:space="preserve">lcohol compliance checks </w:t>
      </w:r>
      <w:r>
        <w:t>included in this year’s analys</w:t>
      </w:r>
      <w:r w:rsidR="00726C09">
        <w:t>i</w:t>
      </w:r>
      <w:r>
        <w:t xml:space="preserve">s </w:t>
      </w:r>
      <w:r w:rsidR="00714658">
        <w:t xml:space="preserve">were </w:t>
      </w:r>
      <w:r w:rsidR="00714658" w:rsidRPr="004C3C9B">
        <w:t xml:space="preserve">completed </w:t>
      </w:r>
      <w:r w:rsidR="004C1395" w:rsidRPr="004C3C9B">
        <w:t>from</w:t>
      </w:r>
      <w:r w:rsidR="00714658" w:rsidRPr="004C3C9B">
        <w:t xml:space="preserve"> </w:t>
      </w:r>
      <w:r w:rsidR="00022403" w:rsidRPr="00022403">
        <w:t>October</w:t>
      </w:r>
      <w:r w:rsidR="00714658" w:rsidRPr="00022403">
        <w:t xml:space="preserve"> 201</w:t>
      </w:r>
      <w:r w:rsidR="00022403" w:rsidRPr="00022403">
        <w:t>6</w:t>
      </w:r>
      <w:r w:rsidR="00714658" w:rsidRPr="00022403">
        <w:t xml:space="preserve"> </w:t>
      </w:r>
      <w:r w:rsidR="004C1395" w:rsidRPr="00022403">
        <w:t>through</w:t>
      </w:r>
      <w:r w:rsidR="00714658" w:rsidRPr="00022403">
        <w:t xml:space="preserve"> </w:t>
      </w:r>
      <w:r w:rsidR="00022403" w:rsidRPr="00022403">
        <w:t>October</w:t>
      </w:r>
      <w:r w:rsidR="00714658" w:rsidRPr="00022403">
        <w:t xml:space="preserve"> 201</w:t>
      </w:r>
      <w:r w:rsidR="00022403" w:rsidRPr="00022403">
        <w:t>7</w:t>
      </w:r>
      <w:r w:rsidR="00714658" w:rsidRPr="004C3C9B">
        <w:t xml:space="preserve"> and </w:t>
      </w:r>
      <w:r w:rsidRPr="004C3C9B">
        <w:t xml:space="preserve">the </w:t>
      </w:r>
      <w:r w:rsidR="00714658" w:rsidRPr="004C3C9B">
        <w:t xml:space="preserve">tobacco checks </w:t>
      </w:r>
      <w:r w:rsidR="004C1395" w:rsidRPr="00C76E20">
        <w:t>from</w:t>
      </w:r>
      <w:r w:rsidR="00714658" w:rsidRPr="00C76E20">
        <w:t xml:space="preserve"> </w:t>
      </w:r>
      <w:r w:rsidR="00C575F7">
        <w:t>December</w:t>
      </w:r>
      <w:r w:rsidR="00714658" w:rsidRPr="00C76E20">
        <w:t xml:space="preserve"> 201</w:t>
      </w:r>
      <w:r w:rsidR="00C76E20" w:rsidRPr="00C76E20">
        <w:t>6</w:t>
      </w:r>
      <w:r w:rsidR="00714658" w:rsidRPr="00C76E20">
        <w:t xml:space="preserve"> </w:t>
      </w:r>
      <w:r w:rsidR="004C1395" w:rsidRPr="00C76E20">
        <w:t>through</w:t>
      </w:r>
      <w:r w:rsidR="00714658" w:rsidRPr="00C76E20">
        <w:t xml:space="preserve"> </w:t>
      </w:r>
      <w:r w:rsidR="002767FE" w:rsidRPr="00C76E20">
        <w:t>June</w:t>
      </w:r>
      <w:r w:rsidR="00714658" w:rsidRPr="00C76E20">
        <w:t xml:space="preserve"> 201</w:t>
      </w:r>
      <w:r w:rsidR="00C575F7">
        <w:t>7</w:t>
      </w:r>
      <w:r w:rsidR="00714658">
        <w:t>.</w:t>
      </w:r>
    </w:p>
    <w:p w14:paraId="3CFB65CF" w14:textId="77777777" w:rsidR="00715A2B" w:rsidRDefault="00715A2B" w:rsidP="00B43AB4">
      <w:pPr>
        <w:pStyle w:val="BodyText"/>
        <w:spacing w:after="120"/>
      </w:pPr>
    </w:p>
    <w:p w14:paraId="137D870D" w14:textId="77777777" w:rsidR="002E7CC5" w:rsidRDefault="002E7CC5" w:rsidP="002E7CC5">
      <w:pPr>
        <w:pStyle w:val="Heading2"/>
      </w:pPr>
      <w:bookmarkStart w:id="12" w:name="_Toc502600912"/>
      <w:r>
        <w:t>Data Entry and Analys</w:t>
      </w:r>
      <w:r w:rsidR="00B21722">
        <w:t>e</w:t>
      </w:r>
      <w:r>
        <w:t>s</w:t>
      </w:r>
      <w:bookmarkEnd w:id="12"/>
    </w:p>
    <w:p w14:paraId="51B2B0D3" w14:textId="196F2B3A" w:rsidR="00034DC4" w:rsidRDefault="00E41573" w:rsidP="00F4751E">
      <w:pPr>
        <w:pStyle w:val="BodyText"/>
        <w:jc w:val="both"/>
      </w:pPr>
      <w:r w:rsidRPr="001F1BC6">
        <w:t>Unlike previous years when the c</w:t>
      </w:r>
      <w:r w:rsidR="00493045" w:rsidRPr="001F1BC6">
        <w:t>ompleted i</w:t>
      </w:r>
      <w:r w:rsidR="00034DC4" w:rsidRPr="001F1BC6">
        <w:t xml:space="preserve">nspection forms were </w:t>
      </w:r>
      <w:r w:rsidR="00493045" w:rsidRPr="001F1BC6">
        <w:t>hand-</w:t>
      </w:r>
      <w:r w:rsidR="00211877" w:rsidRPr="001F1BC6">
        <w:t>delivered</w:t>
      </w:r>
      <w:r w:rsidR="00034DC4" w:rsidRPr="001F1BC6">
        <w:t xml:space="preserve"> to WYSAC </w:t>
      </w:r>
      <w:r w:rsidR="005F517F" w:rsidRPr="001F1BC6">
        <w:t xml:space="preserve">from </w:t>
      </w:r>
      <w:r w:rsidR="00370AD3" w:rsidRPr="001F1BC6">
        <w:t xml:space="preserve">a designee of </w:t>
      </w:r>
      <w:r w:rsidR="000404D9" w:rsidRPr="001F1BC6">
        <w:t>WASCOP</w:t>
      </w:r>
      <w:r w:rsidR="00DA1F09" w:rsidRPr="001F1BC6">
        <w:t>,</w:t>
      </w:r>
      <w:r w:rsidRPr="001F1BC6">
        <w:t xml:space="preserve"> this year WYSAC was instructed to download </w:t>
      </w:r>
      <w:r w:rsidR="001F1BC6" w:rsidRPr="001F1BC6">
        <w:t xml:space="preserve">electronic scans of </w:t>
      </w:r>
      <w:r w:rsidRPr="001F1BC6">
        <w:t xml:space="preserve">the </w:t>
      </w:r>
      <w:r w:rsidR="001F1BC6" w:rsidRPr="001F1BC6">
        <w:t xml:space="preserve">compliance check forms </w:t>
      </w:r>
      <w:r w:rsidRPr="001F1BC6">
        <w:t>from WASCOP’s website</w:t>
      </w:r>
      <w:r w:rsidR="00211877" w:rsidRPr="001F1BC6">
        <w:t>.</w:t>
      </w:r>
      <w:r w:rsidR="00942A5E">
        <w:t xml:space="preserve"> </w:t>
      </w:r>
      <w:r w:rsidR="00211877">
        <w:t>Forms were</w:t>
      </w:r>
      <w:r w:rsidR="00034DC4">
        <w:t xml:space="preserve"> </w:t>
      </w:r>
      <w:r w:rsidR="007E5812">
        <w:t>manually</w:t>
      </w:r>
      <w:r w:rsidR="00034DC4">
        <w:t xml:space="preserve"> entered by </w:t>
      </w:r>
      <w:r w:rsidR="00211877">
        <w:t>trained WYSAC</w:t>
      </w:r>
      <w:r w:rsidR="00034DC4">
        <w:t xml:space="preserve"> staff into </w:t>
      </w:r>
      <w:r w:rsidR="00493045">
        <w:t>two</w:t>
      </w:r>
      <w:r w:rsidR="00EC721C">
        <w:t xml:space="preserve"> custom</w:t>
      </w:r>
      <w:r w:rsidR="00211877">
        <w:t>-</w:t>
      </w:r>
      <w:r w:rsidR="00EC721C">
        <w:t>built</w:t>
      </w:r>
      <w:r w:rsidR="00211877">
        <w:t xml:space="preserve"> Microsoft</w:t>
      </w:r>
      <w:r w:rsidR="00EC721C">
        <w:t xml:space="preserve"> Access Database</w:t>
      </w:r>
      <w:r w:rsidR="00493045">
        <w:t>s; one each for alcohol and tobacco checks</w:t>
      </w:r>
      <w:r w:rsidR="00034DC4">
        <w:t>.</w:t>
      </w:r>
      <w:r w:rsidR="000A0351">
        <w:t xml:space="preserve"> </w:t>
      </w:r>
      <w:r w:rsidR="00F71603">
        <w:t>A</w:t>
      </w:r>
      <w:r w:rsidR="000A0351">
        <w:t>ll</w:t>
      </w:r>
      <w:r w:rsidR="007B5D18" w:rsidRPr="007B5D18">
        <w:t xml:space="preserve"> </w:t>
      </w:r>
      <w:r w:rsidR="000A0351">
        <w:t>o</w:t>
      </w:r>
      <w:r w:rsidR="007B5D18">
        <w:t xml:space="preserve">fficers who did not </w:t>
      </w:r>
      <w:r w:rsidR="005F6A28">
        <w:t>properly finish</w:t>
      </w:r>
      <w:r w:rsidR="007B5D18">
        <w:t xml:space="preserve"> </w:t>
      </w:r>
      <w:r w:rsidR="005F6A28">
        <w:t xml:space="preserve">their </w:t>
      </w:r>
      <w:r w:rsidR="00493045">
        <w:t xml:space="preserve">inspection forms were </w:t>
      </w:r>
      <w:r w:rsidR="000404D9">
        <w:t xml:space="preserve">contacted by telephone </w:t>
      </w:r>
      <w:r w:rsidR="007B5D18">
        <w:t>for clarification</w:t>
      </w:r>
      <w:r w:rsidR="0043787E">
        <w:t xml:space="preserve"> in an attempt to fill missing data</w:t>
      </w:r>
      <w:r w:rsidR="000A0351">
        <w:t xml:space="preserve">, a process which </w:t>
      </w:r>
      <w:r w:rsidR="004C1395">
        <w:t>ran</w:t>
      </w:r>
      <w:r w:rsidR="007B5D18">
        <w:t xml:space="preserve"> from </w:t>
      </w:r>
      <w:r w:rsidR="00C575F7">
        <w:t>October</w:t>
      </w:r>
      <w:r w:rsidR="00493045" w:rsidRPr="00D971F4">
        <w:t xml:space="preserve"> to </w:t>
      </w:r>
      <w:r w:rsidR="00022403">
        <w:t>December</w:t>
      </w:r>
      <w:r w:rsidR="005A57EE" w:rsidRPr="00D971F4">
        <w:t xml:space="preserve"> 201</w:t>
      </w:r>
      <w:r w:rsidR="00C575F7">
        <w:t>7</w:t>
      </w:r>
      <w:r w:rsidR="0043787E" w:rsidRPr="00D971F4">
        <w:t>.</w:t>
      </w:r>
    </w:p>
    <w:p w14:paraId="4F3663D8" w14:textId="0F986B2D" w:rsidR="00034DC4" w:rsidRPr="0001458D" w:rsidRDefault="00034DC4" w:rsidP="00F4751E">
      <w:pPr>
        <w:pStyle w:val="BodyText"/>
        <w:jc w:val="both"/>
      </w:pPr>
      <w:r>
        <w:t xml:space="preserve">Once data </w:t>
      </w:r>
      <w:r w:rsidR="00414AD1" w:rsidRPr="0001458D">
        <w:t>input</w:t>
      </w:r>
      <w:r w:rsidRPr="0001458D">
        <w:t xml:space="preserve"> was completed, the data</w:t>
      </w:r>
      <w:r w:rsidR="00211877" w:rsidRPr="0001458D">
        <w:t>base</w:t>
      </w:r>
      <w:r w:rsidRPr="0001458D">
        <w:t xml:space="preserve"> was imp</w:t>
      </w:r>
      <w:r w:rsidR="009B73BB" w:rsidRPr="0001458D">
        <w:t xml:space="preserve">orted into </w:t>
      </w:r>
      <w:r w:rsidR="004C1395" w:rsidRPr="0001458D">
        <w:t>SPSS</w:t>
      </w:r>
      <w:r w:rsidR="009B73BB" w:rsidRPr="0001458D">
        <w:t xml:space="preserve"> </w:t>
      </w:r>
      <w:r w:rsidR="006F1078" w:rsidRPr="0001458D">
        <w:t>2</w:t>
      </w:r>
      <w:r w:rsidR="00FB451C">
        <w:t>2</w:t>
      </w:r>
      <w:r w:rsidR="009B73BB" w:rsidRPr="0001458D">
        <w:t xml:space="preserve">.0 </w:t>
      </w:r>
      <w:r w:rsidR="0043787E" w:rsidRPr="0001458D">
        <w:t xml:space="preserve">for processing, </w:t>
      </w:r>
      <w:r w:rsidR="009B73BB" w:rsidRPr="0001458D">
        <w:t>where cross-</w:t>
      </w:r>
      <w:r w:rsidRPr="0001458D">
        <w:t>tabulations and frequency tables were generated.</w:t>
      </w:r>
      <w:r w:rsidR="00414AD1" w:rsidRPr="0001458D">
        <w:t xml:space="preserve"> Finally, the database</w:t>
      </w:r>
      <w:r w:rsidR="00493045" w:rsidRPr="0001458D">
        <w:t>s</w:t>
      </w:r>
      <w:r w:rsidR="00414AD1" w:rsidRPr="0001458D">
        <w:t xml:space="preserve"> </w:t>
      </w:r>
      <w:r w:rsidR="00493045" w:rsidRPr="0001458D">
        <w:t>were</w:t>
      </w:r>
      <w:r w:rsidR="00414AD1" w:rsidRPr="0001458D">
        <w:t xml:space="preserve"> converted into Microsoft Excel file</w:t>
      </w:r>
      <w:r w:rsidR="005A57EE" w:rsidRPr="0001458D">
        <w:t>s</w:t>
      </w:r>
      <w:r w:rsidR="00414AD1" w:rsidRPr="0001458D">
        <w:t xml:space="preserve"> for electronic delivery to WASC</w:t>
      </w:r>
      <w:r w:rsidR="00493045" w:rsidRPr="0001458D">
        <w:t>O</w:t>
      </w:r>
      <w:r w:rsidR="00414AD1" w:rsidRPr="0001458D">
        <w:t xml:space="preserve">P. </w:t>
      </w:r>
    </w:p>
    <w:p w14:paraId="74A14376" w14:textId="34A86C77" w:rsidR="000D580E" w:rsidRPr="0001458D" w:rsidRDefault="0011426C" w:rsidP="00F4751E">
      <w:pPr>
        <w:pStyle w:val="BodyText"/>
        <w:jc w:val="both"/>
      </w:pPr>
      <w:r w:rsidRPr="0001458D">
        <w:t xml:space="preserve">Inspection forms </w:t>
      </w:r>
      <w:r w:rsidR="009B73BB" w:rsidRPr="0001458D">
        <w:t>indicating</w:t>
      </w:r>
      <w:r w:rsidRPr="0001458D">
        <w:t xml:space="preserve"> only a warning </w:t>
      </w:r>
      <w:r w:rsidR="009B73BB" w:rsidRPr="0001458D">
        <w:t xml:space="preserve">was </w:t>
      </w:r>
      <w:r w:rsidRPr="0001458D">
        <w:t xml:space="preserve">issued </w:t>
      </w:r>
      <w:r w:rsidR="009B73BB" w:rsidRPr="0001458D">
        <w:t>were</w:t>
      </w:r>
      <w:r w:rsidRPr="0001458D">
        <w:t xml:space="preserve"> considered a violation of complianc</w:t>
      </w:r>
      <w:r w:rsidR="0043787E" w:rsidRPr="0001458D">
        <w:t>e</w:t>
      </w:r>
      <w:r w:rsidRPr="0001458D">
        <w:t xml:space="preserve"> </w:t>
      </w:r>
      <w:r w:rsidR="00607F4C" w:rsidRPr="0001458D">
        <w:t xml:space="preserve">for data analysis purposes, </w:t>
      </w:r>
      <w:r w:rsidR="009B73BB" w:rsidRPr="0001458D">
        <w:t>though</w:t>
      </w:r>
      <w:r w:rsidRPr="0001458D">
        <w:t xml:space="preserve"> no citations </w:t>
      </w:r>
      <w:r w:rsidR="009B73BB" w:rsidRPr="0001458D">
        <w:t>were</w:t>
      </w:r>
      <w:r w:rsidRPr="0001458D">
        <w:t xml:space="preserve"> issued. </w:t>
      </w:r>
      <w:r w:rsidR="00E41573" w:rsidRPr="0001458D">
        <w:t>Inspection forms</w:t>
      </w:r>
      <w:r w:rsidR="0043787E" w:rsidRPr="0001458D">
        <w:t xml:space="preserve"> </w:t>
      </w:r>
      <w:r w:rsidRPr="0001458D">
        <w:t xml:space="preserve">which </w:t>
      </w:r>
      <w:r w:rsidR="0043787E" w:rsidRPr="0001458D">
        <w:t>indicated</w:t>
      </w:r>
      <w:r w:rsidRPr="0001458D">
        <w:t xml:space="preserve"> an unsuccessful attempt (i.e. </w:t>
      </w:r>
      <w:r w:rsidR="00607F4C" w:rsidRPr="0001458D">
        <w:t xml:space="preserve">business </w:t>
      </w:r>
      <w:r w:rsidRPr="0001458D">
        <w:t xml:space="preserve">closed, </w:t>
      </w:r>
      <w:r w:rsidR="00607F4C" w:rsidRPr="0001458D">
        <w:t>n</w:t>
      </w:r>
      <w:r w:rsidRPr="0001458D">
        <w:t xml:space="preserve">o longer selling </w:t>
      </w:r>
      <w:r w:rsidR="009B73BB" w:rsidRPr="0001458D">
        <w:t>alcohol</w:t>
      </w:r>
      <w:r w:rsidR="00607F4C" w:rsidRPr="0001458D">
        <w:t>/</w:t>
      </w:r>
      <w:r w:rsidR="009B73BB" w:rsidRPr="0001458D">
        <w:t>tobacco</w:t>
      </w:r>
      <w:r w:rsidRPr="0001458D">
        <w:t xml:space="preserve">) were considered a null attempt and not included in the total </w:t>
      </w:r>
      <w:r w:rsidR="005A57EE" w:rsidRPr="0001458D">
        <w:t xml:space="preserve">valid </w:t>
      </w:r>
      <w:r w:rsidRPr="0001458D">
        <w:t xml:space="preserve">compliance check count </w:t>
      </w:r>
      <w:r w:rsidR="005A57EE" w:rsidRPr="0001458D">
        <w:t>or</w:t>
      </w:r>
      <w:r w:rsidR="0043787E" w:rsidRPr="0001458D">
        <w:t xml:space="preserve"> data analysis.</w:t>
      </w:r>
      <w:r w:rsidR="000D580E" w:rsidRPr="0001458D">
        <w:t xml:space="preserve"> </w:t>
      </w:r>
      <w:r w:rsidR="008E3315">
        <w:t>In a few cases</w:t>
      </w:r>
      <w:r w:rsidR="000D580E" w:rsidRPr="0001458D">
        <w:t>, blank or extremely incomplete</w:t>
      </w:r>
      <w:r w:rsidR="008E3315">
        <w:t xml:space="preserve"> </w:t>
      </w:r>
      <w:r w:rsidR="008E3315" w:rsidRPr="0001458D">
        <w:t xml:space="preserve">compliance check forms </w:t>
      </w:r>
      <w:r w:rsidR="008E3315">
        <w:t>were submitted</w:t>
      </w:r>
      <w:r w:rsidR="000D580E" w:rsidRPr="0001458D">
        <w:t xml:space="preserve">. These forms </w:t>
      </w:r>
      <w:r w:rsidR="008E3315">
        <w:t xml:space="preserve">were </w:t>
      </w:r>
      <w:r w:rsidR="000D580E" w:rsidRPr="0001458D">
        <w:t>count</w:t>
      </w:r>
      <w:r w:rsidR="008E3315">
        <w:t>ed</w:t>
      </w:r>
      <w:r w:rsidR="000D580E" w:rsidRPr="0001458D">
        <w:t xml:space="preserve"> towards </w:t>
      </w:r>
      <w:r w:rsidR="0001458D" w:rsidRPr="0001458D">
        <w:t xml:space="preserve">only </w:t>
      </w:r>
      <w:r w:rsidR="000D580E" w:rsidRPr="0001458D">
        <w:t xml:space="preserve">the total number of checks and are </w:t>
      </w:r>
      <w:r w:rsidR="0001458D" w:rsidRPr="0001458D">
        <w:t>excluded</w:t>
      </w:r>
      <w:r w:rsidR="000D580E" w:rsidRPr="0001458D">
        <w:t xml:space="preserve"> </w:t>
      </w:r>
      <w:r w:rsidR="008E3315">
        <w:t>from</w:t>
      </w:r>
      <w:r w:rsidR="000D580E" w:rsidRPr="0001458D">
        <w:t xml:space="preserve"> all other calculations. </w:t>
      </w:r>
      <w:r w:rsidR="000D580E" w:rsidRPr="00E41573">
        <w:t xml:space="preserve">Of the </w:t>
      </w:r>
      <w:r w:rsidR="00022403" w:rsidRPr="00E41573">
        <w:t>1,2</w:t>
      </w:r>
      <w:r w:rsidR="00CF7256" w:rsidRPr="00E41573">
        <w:t xml:space="preserve">92 </w:t>
      </w:r>
      <w:r w:rsidR="000D580E" w:rsidRPr="00E41573">
        <w:t>alcohol forms</w:t>
      </w:r>
      <w:r w:rsidR="0001458D" w:rsidRPr="00E41573">
        <w:t xml:space="preserve"> submitted,</w:t>
      </w:r>
      <w:r w:rsidR="000D580E" w:rsidRPr="00E41573">
        <w:t xml:space="preserve"> </w:t>
      </w:r>
      <w:r w:rsidR="00DD192D" w:rsidRPr="00E41573">
        <w:t>1</w:t>
      </w:r>
      <w:r w:rsidR="00022403" w:rsidRPr="00E41573">
        <w:t>,2</w:t>
      </w:r>
      <w:r w:rsidR="00CF7256" w:rsidRPr="00E41573">
        <w:t>30</w:t>
      </w:r>
      <w:r w:rsidR="0001458D" w:rsidRPr="00E41573">
        <w:t xml:space="preserve"> were </w:t>
      </w:r>
      <w:r w:rsidR="0097241C" w:rsidRPr="00E41573">
        <w:t xml:space="preserve">categorized as </w:t>
      </w:r>
      <w:r w:rsidR="0001458D" w:rsidRPr="00E41573">
        <w:t xml:space="preserve">valid, </w:t>
      </w:r>
      <w:r w:rsidR="00022403" w:rsidRPr="00E41573">
        <w:t>62</w:t>
      </w:r>
      <w:r w:rsidR="0001458D" w:rsidRPr="00E41573">
        <w:t xml:space="preserve"> </w:t>
      </w:r>
      <w:r w:rsidR="0097241C" w:rsidRPr="00E41573">
        <w:t>as</w:t>
      </w:r>
      <w:r w:rsidR="0001458D" w:rsidRPr="00E41573">
        <w:t xml:space="preserve"> null, and </w:t>
      </w:r>
      <w:r w:rsidR="00DD192D" w:rsidRPr="00E41573">
        <w:t>0</w:t>
      </w:r>
      <w:r w:rsidR="0001458D" w:rsidRPr="00E41573">
        <w:t xml:space="preserve"> </w:t>
      </w:r>
      <w:r w:rsidR="0097241C" w:rsidRPr="00E41573">
        <w:t>as</w:t>
      </w:r>
      <w:r w:rsidR="0001458D" w:rsidRPr="00E41573">
        <w:t xml:space="preserve"> incomplete. </w:t>
      </w:r>
      <w:r w:rsidR="008E3315" w:rsidRPr="00E41573">
        <w:t>Of</w:t>
      </w:r>
      <w:r w:rsidR="0001458D" w:rsidRPr="00E41573">
        <w:t xml:space="preserve"> the </w:t>
      </w:r>
      <w:r w:rsidR="00C575F7" w:rsidRPr="00E41573">
        <w:t>856</w:t>
      </w:r>
      <w:r w:rsidR="008E3315" w:rsidRPr="00E41573">
        <w:t xml:space="preserve"> </w:t>
      </w:r>
      <w:r w:rsidR="0001458D" w:rsidRPr="00E41573">
        <w:t xml:space="preserve">submitted tobacco forms, </w:t>
      </w:r>
      <w:r w:rsidR="00C575F7" w:rsidRPr="00E41573">
        <w:t>827</w:t>
      </w:r>
      <w:r w:rsidR="0001458D" w:rsidRPr="00E41573">
        <w:t xml:space="preserve"> were </w:t>
      </w:r>
      <w:r w:rsidR="0097241C" w:rsidRPr="00E41573">
        <w:t xml:space="preserve">categorized as </w:t>
      </w:r>
      <w:r w:rsidR="0001458D" w:rsidRPr="00E41573">
        <w:t xml:space="preserve">valid, </w:t>
      </w:r>
      <w:r w:rsidR="00FB727B" w:rsidRPr="00E41573">
        <w:t>2</w:t>
      </w:r>
      <w:r w:rsidR="00C575F7" w:rsidRPr="00E41573">
        <w:t>9</w:t>
      </w:r>
      <w:r w:rsidR="0001458D" w:rsidRPr="00E41573">
        <w:t xml:space="preserve"> </w:t>
      </w:r>
      <w:r w:rsidR="0097241C" w:rsidRPr="00E41573">
        <w:t>as</w:t>
      </w:r>
      <w:r w:rsidR="0001458D" w:rsidRPr="00E41573">
        <w:t xml:space="preserve"> null, and </w:t>
      </w:r>
      <w:r w:rsidR="000E2A1D" w:rsidRPr="00E41573">
        <w:t>0</w:t>
      </w:r>
      <w:r w:rsidR="0001458D" w:rsidRPr="00E41573">
        <w:t xml:space="preserve"> </w:t>
      </w:r>
      <w:r w:rsidR="0097241C" w:rsidRPr="00E41573">
        <w:t>as</w:t>
      </w:r>
      <w:r w:rsidR="0001458D" w:rsidRPr="00E41573">
        <w:t xml:space="preserve"> incomplete.</w:t>
      </w:r>
      <w:r w:rsidR="0001458D" w:rsidRPr="0001458D">
        <w:t xml:space="preserve"> </w:t>
      </w:r>
    </w:p>
    <w:p w14:paraId="69A5F895" w14:textId="77777777" w:rsidR="00194BEE" w:rsidRPr="0001458D" w:rsidRDefault="0011426C" w:rsidP="00F4751E">
      <w:pPr>
        <w:pStyle w:val="BodyText"/>
        <w:jc w:val="both"/>
      </w:pPr>
      <w:r w:rsidRPr="0001458D">
        <w:t>C</w:t>
      </w:r>
      <w:r w:rsidR="00194BEE" w:rsidRPr="0001458D">
        <w:t>ompliance rate</w:t>
      </w:r>
      <w:r w:rsidRPr="0001458D">
        <w:t xml:space="preserve">s </w:t>
      </w:r>
      <w:r w:rsidR="0043787E" w:rsidRPr="0001458D">
        <w:t xml:space="preserve">are </w:t>
      </w:r>
      <w:r w:rsidR="00C10E7C" w:rsidRPr="0001458D">
        <w:t>calculated</w:t>
      </w:r>
      <w:r w:rsidR="00194BEE" w:rsidRPr="0001458D">
        <w:t xml:space="preserve"> by dividing the number of non-infractions reported by the number of</w:t>
      </w:r>
      <w:r w:rsidR="005A57EE" w:rsidRPr="0001458D">
        <w:t xml:space="preserve"> valid</w:t>
      </w:r>
      <w:r w:rsidR="00194BEE" w:rsidRPr="0001458D">
        <w:t xml:space="preserve"> compliance checks performed. </w:t>
      </w:r>
      <w:r w:rsidR="009B73BB" w:rsidRPr="0001458D">
        <w:t xml:space="preserve">This rate is considered valid </w:t>
      </w:r>
      <w:r w:rsidR="00180D50" w:rsidRPr="0001458D">
        <w:t xml:space="preserve">since </w:t>
      </w:r>
      <w:r w:rsidR="009B73BB" w:rsidRPr="0001458D">
        <w:t xml:space="preserve">all compliance forms </w:t>
      </w:r>
      <w:r w:rsidR="0043787E" w:rsidRPr="0001458D">
        <w:t xml:space="preserve">included in the calculations </w:t>
      </w:r>
      <w:r w:rsidR="009B73BB" w:rsidRPr="0001458D">
        <w:t xml:space="preserve">had a </w:t>
      </w:r>
      <w:r w:rsidR="009B73BB" w:rsidRPr="0001458D">
        <w:rPr>
          <w:i/>
        </w:rPr>
        <w:t>resolution</w:t>
      </w:r>
      <w:r w:rsidR="0043787E" w:rsidRPr="0001458D">
        <w:t>, thus leaving no</w:t>
      </w:r>
      <w:r w:rsidR="009B73BB" w:rsidRPr="0001458D">
        <w:t xml:space="preserve"> </w:t>
      </w:r>
      <w:r w:rsidR="00607F4C" w:rsidRPr="0001458D">
        <w:t>missing</w:t>
      </w:r>
      <w:r w:rsidR="0043787E" w:rsidRPr="0001458D">
        <w:t xml:space="preserve"> data associated with them</w:t>
      </w:r>
      <w:r w:rsidR="009B73BB" w:rsidRPr="0001458D">
        <w:t>.</w:t>
      </w:r>
      <w:r w:rsidR="00607F4C" w:rsidRPr="0001458D">
        <w:t xml:space="preserve"> </w:t>
      </w:r>
    </w:p>
    <w:p w14:paraId="1F3E4991" w14:textId="4E7087FB" w:rsidR="00727820" w:rsidRDefault="00000533" w:rsidP="00F4751E">
      <w:pPr>
        <w:pStyle w:val="BodyText"/>
        <w:jc w:val="both"/>
      </w:pPr>
      <w:r w:rsidRPr="0001458D">
        <w:t>A minor logical assumption was made concerning incomplete and inconsistent forms. For any compliance checks</w:t>
      </w:r>
      <w:r w:rsidR="00E93982" w:rsidRPr="0001458D">
        <w:t xml:space="preserve"> that </w:t>
      </w:r>
      <w:r w:rsidR="005E5C55" w:rsidRPr="0001458D">
        <w:t>resulted in</w:t>
      </w:r>
      <w:r w:rsidR="00E93982" w:rsidRPr="0001458D">
        <w:t xml:space="preserve"> no violation</w:t>
      </w:r>
      <w:r w:rsidR="00BD00AB" w:rsidRPr="0001458D">
        <w:t>,</w:t>
      </w:r>
      <w:r w:rsidR="00E93982" w:rsidRPr="0001458D">
        <w:t xml:space="preserve"> the data regarding identification requested, checked</w:t>
      </w:r>
      <w:r w:rsidR="005E5C55" w:rsidRPr="0001458D">
        <w:t>,</w:t>
      </w:r>
      <w:r w:rsidR="00E93982" w:rsidRPr="0001458D">
        <w:t xml:space="preserve"> and checked against a calendar were assumed to be true. For a substa</w:t>
      </w:r>
      <w:r w:rsidR="00E93982">
        <w:t xml:space="preserve">ntial </w:t>
      </w:r>
      <w:r w:rsidR="00180D50">
        <w:t xml:space="preserve">number </w:t>
      </w:r>
      <w:r w:rsidR="00E93982">
        <w:t>of cases these three variables were incomplete, however given the inspection result</w:t>
      </w:r>
      <w:r w:rsidR="007F6561">
        <w:t>,</w:t>
      </w:r>
      <w:r w:rsidR="00E93982">
        <w:t xml:space="preserve"> these data </w:t>
      </w:r>
      <w:r w:rsidR="005E5C55">
        <w:t>were</w:t>
      </w:r>
      <w:r w:rsidR="00E93982">
        <w:t xml:space="preserve"> filled in as true.</w:t>
      </w:r>
    </w:p>
    <w:p w14:paraId="3399068F" w14:textId="77777777" w:rsidR="00034DC4" w:rsidRDefault="00034DC4" w:rsidP="00E93982">
      <w:pPr>
        <w:pStyle w:val="BodyText"/>
      </w:pPr>
      <w:r>
        <w:br w:type="page"/>
      </w:r>
    </w:p>
    <w:p w14:paraId="109D6F59" w14:textId="77777777" w:rsidR="00034DC4" w:rsidRDefault="00034DC4" w:rsidP="00034DC4">
      <w:pPr>
        <w:pStyle w:val="Heading1"/>
      </w:pPr>
      <w:bookmarkStart w:id="13" w:name="_Toc177364228"/>
      <w:bookmarkStart w:id="14" w:name="_Toc502600913"/>
      <w:r>
        <w:lastRenderedPageBreak/>
        <w:t>Results</w:t>
      </w:r>
      <w:bookmarkEnd w:id="13"/>
      <w:bookmarkEnd w:id="14"/>
    </w:p>
    <w:p w14:paraId="02C5632E" w14:textId="77777777" w:rsidR="00034DC4" w:rsidRDefault="00034DC4" w:rsidP="00034DC4"/>
    <w:p w14:paraId="697A97E0" w14:textId="26663EC4" w:rsidR="0060116E" w:rsidRDefault="0060116E" w:rsidP="0060116E">
      <w:pPr>
        <w:pStyle w:val="Heading2"/>
      </w:pPr>
      <w:bookmarkStart w:id="15" w:name="_Toc502600914"/>
      <w:r w:rsidRPr="00B646DF">
        <w:t xml:space="preserve">Compliance </w:t>
      </w:r>
      <w:r>
        <w:t>Check</w:t>
      </w:r>
      <w:r w:rsidR="00562651">
        <w:t>s</w:t>
      </w:r>
      <w:r>
        <w:t xml:space="preserve"> </w:t>
      </w:r>
      <w:r w:rsidR="0043787E">
        <w:t>Counts</w:t>
      </w:r>
      <w:r w:rsidR="008E11D7">
        <w:t xml:space="preserve"> </w:t>
      </w:r>
      <w:r w:rsidR="00FA08A1">
        <w:t>(</w:t>
      </w:r>
      <w:r>
        <w:t xml:space="preserve">2007 </w:t>
      </w:r>
      <w:r w:rsidR="00FA08A1">
        <w:t>–</w:t>
      </w:r>
      <w:r>
        <w:t xml:space="preserve"> 20</w:t>
      </w:r>
      <w:r w:rsidR="00493045">
        <w:t>1</w:t>
      </w:r>
      <w:r w:rsidR="00C575F7">
        <w:t>7</w:t>
      </w:r>
      <w:r w:rsidR="00FA08A1">
        <w:t>)</w:t>
      </w:r>
      <w:bookmarkEnd w:id="15"/>
    </w:p>
    <w:p w14:paraId="1F21671D" w14:textId="5DDEDE79" w:rsidR="00F71603" w:rsidRDefault="00F71603" w:rsidP="00F4751E">
      <w:pPr>
        <w:pStyle w:val="BodyText"/>
        <w:jc w:val="both"/>
      </w:pPr>
      <w:r>
        <w:t xml:space="preserve">The total </w:t>
      </w:r>
      <w:r w:rsidR="005C22CF">
        <w:t>number</w:t>
      </w:r>
      <w:r>
        <w:t xml:space="preserve"> of compliance che</w:t>
      </w:r>
      <w:r w:rsidR="005F6A28">
        <w:t>ck</w:t>
      </w:r>
      <w:r w:rsidR="00562651">
        <w:t>s</w:t>
      </w:r>
      <w:r w:rsidR="005F6A28">
        <w:t xml:space="preserve"> forms submitted </w:t>
      </w:r>
      <w:r w:rsidR="00493045">
        <w:t>each year from 2007 to 201</w:t>
      </w:r>
      <w:r w:rsidR="00C575F7">
        <w:t>7</w:t>
      </w:r>
      <w:r w:rsidR="00493045">
        <w:t xml:space="preserve"> </w:t>
      </w:r>
      <w:r w:rsidR="00562651">
        <w:t>is</w:t>
      </w:r>
      <w:r>
        <w:t xml:space="preserve"> shown below in Figure 3.1. These totals include forms that were not used in </w:t>
      </w:r>
      <w:r w:rsidR="0043787E">
        <w:t xml:space="preserve">the </w:t>
      </w:r>
      <w:r>
        <w:t>calculation</w:t>
      </w:r>
      <w:r w:rsidR="0043787E">
        <w:t xml:space="preserve"> of compliance rates</w:t>
      </w:r>
      <w:r>
        <w:t xml:space="preserve">, such as for businesses that were closed. Each year the </w:t>
      </w:r>
      <w:r w:rsidR="005C22CF">
        <w:t>number</w:t>
      </w:r>
      <w:r w:rsidR="00AA5CC1">
        <w:t xml:space="preserve"> of completed forms </w:t>
      </w:r>
      <w:r w:rsidR="00CB202E">
        <w:t>for</w:t>
      </w:r>
      <w:r w:rsidR="00AA5CC1">
        <w:t xml:space="preserve"> compliance with alcohol sales </w:t>
      </w:r>
      <w:r>
        <w:t xml:space="preserve">submitted </w:t>
      </w:r>
      <w:r w:rsidR="00CB202E">
        <w:t xml:space="preserve">to WYSAC for data entry and analysis </w:t>
      </w:r>
      <w:r w:rsidR="005F6A28">
        <w:t>ha</w:t>
      </w:r>
      <w:r w:rsidR="0043787E">
        <w:t>s</w:t>
      </w:r>
      <w:r w:rsidR="005F6A28">
        <w:t xml:space="preserve"> been</w:t>
      </w:r>
      <w:r>
        <w:t xml:space="preserve"> substantially higher than</w:t>
      </w:r>
      <w:r w:rsidR="00AA5CC1">
        <w:t xml:space="preserve"> </w:t>
      </w:r>
      <w:r w:rsidR="005A57EE">
        <w:t>those for tobacco sales</w:t>
      </w:r>
      <w:r w:rsidR="00EF0279">
        <w:t xml:space="preserve">. </w:t>
      </w:r>
      <w:r w:rsidR="00FB727B" w:rsidRPr="0070309A">
        <w:t xml:space="preserve">This year </w:t>
      </w:r>
      <w:r w:rsidR="0070309A" w:rsidRPr="0070309A">
        <w:t>saw a large drop in the number of alcohol compliance checks submitted.</w:t>
      </w:r>
    </w:p>
    <w:p w14:paraId="5F7D7BE1" w14:textId="77777777" w:rsidR="00000533" w:rsidRDefault="00000533" w:rsidP="00F71603">
      <w:pPr>
        <w:pStyle w:val="BodyText"/>
        <w:jc w:val="both"/>
      </w:pPr>
    </w:p>
    <w:p w14:paraId="6C06575A" w14:textId="7AF78CCB" w:rsidR="00F71603" w:rsidRPr="009331D9" w:rsidRDefault="00F71603" w:rsidP="009331D9">
      <w:pPr>
        <w:pStyle w:val="FigureTitle"/>
      </w:pPr>
      <w:bookmarkStart w:id="16" w:name="_Toc240865720"/>
      <w:bookmarkStart w:id="17" w:name="_Toc502600923"/>
      <w:r w:rsidRPr="009331D9">
        <w:t xml:space="preserve">Figure 3.1. Total </w:t>
      </w:r>
      <w:r w:rsidR="00AA5CC1">
        <w:t xml:space="preserve">Number of </w:t>
      </w:r>
      <w:r w:rsidRPr="009331D9">
        <w:t>Compliance Check</w:t>
      </w:r>
      <w:r w:rsidR="00994DEF">
        <w:t>s</w:t>
      </w:r>
      <w:r w:rsidRPr="009331D9">
        <w:t xml:space="preserve"> (2007–20</w:t>
      </w:r>
      <w:r w:rsidR="00955ABD">
        <w:t>1</w:t>
      </w:r>
      <w:r w:rsidR="00C575F7">
        <w:t>7</w:t>
      </w:r>
      <w:r w:rsidRPr="009331D9">
        <w:t>)</w:t>
      </w:r>
      <w:bookmarkEnd w:id="16"/>
      <w:bookmarkEnd w:id="17"/>
    </w:p>
    <w:p w14:paraId="4A52181F" w14:textId="08BE780E" w:rsidR="00F71603" w:rsidRDefault="00547686" w:rsidP="00F71603">
      <w:pPr>
        <w:pStyle w:val="BodyText"/>
        <w:jc w:val="both"/>
      </w:pPr>
      <w:r>
        <w:rPr>
          <w:noProof/>
        </w:rPr>
        <w:drawing>
          <wp:inline distT="0" distB="0" distL="0" distR="0" wp14:anchorId="0E106F6E" wp14:editId="4F4654C4">
            <wp:extent cx="5943600" cy="241935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7443FD" w14:textId="77777777" w:rsidR="00E94353" w:rsidRDefault="00E94353" w:rsidP="00034DC4"/>
    <w:p w14:paraId="69611BDF" w14:textId="77777777" w:rsidR="00FA08A1" w:rsidRDefault="00FA08A1">
      <w:r>
        <w:br w:type="page"/>
      </w:r>
    </w:p>
    <w:p w14:paraId="4D77277B" w14:textId="77777777" w:rsidR="00034DC4" w:rsidRDefault="00034DC4" w:rsidP="00034DC4">
      <w:pPr>
        <w:pStyle w:val="Heading2"/>
      </w:pPr>
      <w:bookmarkStart w:id="18" w:name="_Toc177364230"/>
      <w:bookmarkStart w:id="19" w:name="_Toc502600915"/>
      <w:r>
        <w:lastRenderedPageBreak/>
        <w:t xml:space="preserve">Alcohol </w:t>
      </w:r>
      <w:r w:rsidR="00346026">
        <w:t xml:space="preserve">Sales </w:t>
      </w:r>
      <w:r w:rsidRPr="00B646DF">
        <w:t xml:space="preserve">Compliance </w:t>
      </w:r>
      <w:r w:rsidR="009E02ED">
        <w:t xml:space="preserve">Checks </w:t>
      </w:r>
      <w:r w:rsidRPr="00B646DF">
        <w:t>Results</w:t>
      </w:r>
      <w:bookmarkEnd w:id="18"/>
      <w:bookmarkEnd w:id="19"/>
    </w:p>
    <w:p w14:paraId="6F3281FB" w14:textId="14903ED4" w:rsidR="00F93634" w:rsidRPr="001F75B7" w:rsidRDefault="00CB202E" w:rsidP="00F4751E">
      <w:pPr>
        <w:pStyle w:val="BodyText"/>
        <w:jc w:val="both"/>
      </w:pPr>
      <w:r w:rsidRPr="001F75B7">
        <w:t xml:space="preserve">In </w:t>
      </w:r>
      <w:r w:rsidR="00D971F4" w:rsidRPr="001F75B7">
        <w:t>201</w:t>
      </w:r>
      <w:r w:rsidR="0070309A">
        <w:t>7</w:t>
      </w:r>
      <w:r w:rsidR="00CC439D">
        <w:t>,</w:t>
      </w:r>
      <w:r w:rsidRPr="001F75B7">
        <w:t xml:space="preserve"> a total</w:t>
      </w:r>
      <w:r w:rsidR="00FC56F4" w:rsidRPr="001F75B7">
        <w:t xml:space="preserve"> </w:t>
      </w:r>
      <w:r w:rsidR="00D132CF">
        <w:t xml:space="preserve">of </w:t>
      </w:r>
      <w:r w:rsidR="0070309A">
        <w:t>1,2</w:t>
      </w:r>
      <w:r w:rsidR="00CF7256">
        <w:t>92</w:t>
      </w:r>
      <w:r w:rsidR="00D971F4" w:rsidRPr="00EF0279">
        <w:t xml:space="preserve"> </w:t>
      </w:r>
      <w:r w:rsidR="00F93634" w:rsidRPr="001F75B7">
        <w:t>alcohol compliance check forms were submitted to WYSAC. Afte</w:t>
      </w:r>
      <w:r w:rsidR="00694D3D" w:rsidRPr="001F75B7">
        <w:t>r removing null attempts</w:t>
      </w:r>
      <w:r w:rsidR="00BD00AB">
        <w:t>,</w:t>
      </w:r>
      <w:r w:rsidR="00694D3D" w:rsidRPr="001F75B7">
        <w:t xml:space="preserve"> </w:t>
      </w:r>
      <w:r w:rsidR="0070309A">
        <w:t>1,2</w:t>
      </w:r>
      <w:r w:rsidR="00CF7256">
        <w:t>30</w:t>
      </w:r>
      <w:r w:rsidR="00EC77D0">
        <w:t xml:space="preserve"> </w:t>
      </w:r>
      <w:r w:rsidRPr="001F75B7">
        <w:t xml:space="preserve">forms were determined to be </w:t>
      </w:r>
      <w:r w:rsidR="00F93634" w:rsidRPr="001F75B7">
        <w:t xml:space="preserve">valid checks </w:t>
      </w:r>
      <w:r w:rsidRPr="001F75B7">
        <w:t xml:space="preserve">and included in the </w:t>
      </w:r>
      <w:r w:rsidR="00F93634" w:rsidRPr="001F75B7">
        <w:t>calculations</w:t>
      </w:r>
      <w:r w:rsidRPr="001F75B7">
        <w:t xml:space="preserve"> of compliance</w:t>
      </w:r>
      <w:r w:rsidR="004076C6" w:rsidRPr="001F75B7">
        <w:t xml:space="preserve"> rates</w:t>
      </w:r>
      <w:r w:rsidR="00F93634" w:rsidRPr="001F75B7">
        <w:t xml:space="preserve">. </w:t>
      </w:r>
    </w:p>
    <w:p w14:paraId="7FB17463" w14:textId="0CC0B9C1" w:rsidR="00F93634" w:rsidRPr="00030C05" w:rsidRDefault="00F93634" w:rsidP="00F4751E">
      <w:pPr>
        <w:pStyle w:val="BodyText"/>
        <w:jc w:val="both"/>
      </w:pPr>
      <w:r w:rsidRPr="00030C05">
        <w:t>Inspection forms indicating only a warning was issued were considered a violation of complianc</w:t>
      </w:r>
      <w:r w:rsidR="00CB202E" w:rsidRPr="00030C05">
        <w:t>e</w:t>
      </w:r>
      <w:r w:rsidRPr="00030C05">
        <w:t xml:space="preserve"> for data analysis purposes, though no citations were issued. Data which represented an unsuccessful attempt because the business was closed</w:t>
      </w:r>
      <w:r w:rsidR="007B1D02" w:rsidRPr="00030C05">
        <w:t xml:space="preserve"> </w:t>
      </w:r>
      <w:r w:rsidRPr="00030C05">
        <w:t xml:space="preserve">were considered a null attempt and not included in the total compliance check count or calculations. </w:t>
      </w:r>
      <w:r w:rsidR="000A0351" w:rsidRPr="00030C05">
        <w:t>C</w:t>
      </w:r>
      <w:r w:rsidRPr="00030C05">
        <w:t xml:space="preserve">ompliance rates were calculated by dividing the </w:t>
      </w:r>
      <w:r w:rsidR="005C22CF" w:rsidRPr="00030C05">
        <w:t>number</w:t>
      </w:r>
      <w:r w:rsidRPr="00030C05">
        <w:t xml:space="preserve"> of non-infractions reported by the </w:t>
      </w:r>
      <w:r w:rsidR="005C22CF" w:rsidRPr="00030C05">
        <w:t>number</w:t>
      </w:r>
      <w:r w:rsidRPr="00030C05">
        <w:t xml:space="preserve"> of </w:t>
      </w:r>
      <w:r w:rsidR="00071551">
        <w:t xml:space="preserve">valid </w:t>
      </w:r>
      <w:r w:rsidRPr="00030C05">
        <w:t xml:space="preserve">compliance checks performed. Each qualifying establishment received one </w:t>
      </w:r>
      <w:r w:rsidR="009833BD" w:rsidRPr="00030C05">
        <w:t>of three values: no violation</w:t>
      </w:r>
      <w:r w:rsidR="00DA1F09">
        <w:t>/no infraction</w:t>
      </w:r>
      <w:r w:rsidR="009833BD" w:rsidRPr="00030C05">
        <w:t xml:space="preserve">, </w:t>
      </w:r>
      <w:r w:rsidR="00547686">
        <w:t>violation</w:t>
      </w:r>
      <w:r w:rsidR="005F5812">
        <w:t>/citation</w:t>
      </w:r>
      <w:bookmarkStart w:id="20" w:name="_GoBack"/>
      <w:bookmarkEnd w:id="20"/>
      <w:r w:rsidRPr="00030C05">
        <w:t>, or warning.</w:t>
      </w:r>
    </w:p>
    <w:p w14:paraId="55CB040F" w14:textId="4CD8FBFD" w:rsidR="00E329C5" w:rsidRDefault="00E329C5" w:rsidP="00F4751E">
      <w:pPr>
        <w:pStyle w:val="BodyText"/>
        <w:jc w:val="both"/>
      </w:pPr>
      <w:r w:rsidRPr="00030C05">
        <w:t xml:space="preserve">As </w:t>
      </w:r>
      <w:r w:rsidR="00EF035D" w:rsidRPr="00030C05">
        <w:t>shown</w:t>
      </w:r>
      <w:r w:rsidR="00E70641">
        <w:t xml:space="preserve"> </w:t>
      </w:r>
      <w:r w:rsidR="005F6A28" w:rsidRPr="00030C05">
        <w:t>in</w:t>
      </w:r>
      <w:r w:rsidR="00EF035D" w:rsidRPr="00030C05">
        <w:t xml:space="preserve"> </w:t>
      </w:r>
      <w:r w:rsidRPr="00030C05">
        <w:t>Figure 3.</w:t>
      </w:r>
      <w:r w:rsidR="00F71603" w:rsidRPr="00030C05">
        <w:t>2</w:t>
      </w:r>
      <w:r w:rsidR="00D132CF">
        <w:t xml:space="preserve"> below</w:t>
      </w:r>
      <w:r w:rsidRPr="00030C05">
        <w:t xml:space="preserve">, </w:t>
      </w:r>
      <w:r w:rsidR="002A7F27">
        <w:t xml:space="preserve">valid </w:t>
      </w:r>
      <w:r w:rsidR="009C7196" w:rsidRPr="00030C05">
        <w:t xml:space="preserve">alcohol </w:t>
      </w:r>
      <w:r w:rsidRPr="00030C05">
        <w:t>f</w:t>
      </w:r>
      <w:r w:rsidR="00D8590E" w:rsidRPr="00030C05">
        <w:t xml:space="preserve">orms were returned for </w:t>
      </w:r>
      <w:r w:rsidR="0070309A">
        <w:t>17</w:t>
      </w:r>
      <w:r w:rsidR="007E1DD1" w:rsidRPr="006D23D2">
        <w:t xml:space="preserve"> of 23</w:t>
      </w:r>
      <w:r w:rsidR="00D8590E" w:rsidRPr="00030C05">
        <w:t xml:space="preserve"> </w:t>
      </w:r>
      <w:r w:rsidR="00BC12F2" w:rsidRPr="00030C05">
        <w:t xml:space="preserve">Wyoming </w:t>
      </w:r>
      <w:r w:rsidR="00CC439D">
        <w:t>counties</w:t>
      </w:r>
      <w:r w:rsidR="0070309A">
        <w:t>.</w:t>
      </w:r>
      <w:r w:rsidR="00696954">
        <w:t xml:space="preserve"> A total of </w:t>
      </w:r>
      <w:r w:rsidR="0070309A">
        <w:t>47</w:t>
      </w:r>
      <w:r w:rsidR="00D8590E" w:rsidRPr="00030C05">
        <w:t xml:space="preserve"> </w:t>
      </w:r>
      <w:r w:rsidR="00BC12F2" w:rsidRPr="00030C05">
        <w:t xml:space="preserve">Wyoming </w:t>
      </w:r>
      <w:r w:rsidR="00D8590E" w:rsidRPr="00030C05">
        <w:t>cities</w:t>
      </w:r>
      <w:r w:rsidR="00F4751E">
        <w:t xml:space="preserve">, </w:t>
      </w:r>
      <w:r w:rsidRPr="00030C05">
        <w:t>unincorporated communities</w:t>
      </w:r>
      <w:r w:rsidR="00F4751E">
        <w:t xml:space="preserve"> (such as </w:t>
      </w:r>
      <w:proofErr w:type="spellStart"/>
      <w:r w:rsidR="00E44319">
        <w:t>Hiland</w:t>
      </w:r>
      <w:proofErr w:type="spellEnd"/>
      <w:r w:rsidR="00F4751E">
        <w:t xml:space="preserve">), and </w:t>
      </w:r>
      <w:hyperlink r:id="rId13" w:tooltip="Census-designated place" w:history="1">
        <w:r w:rsidR="00F4751E" w:rsidRPr="00F4751E">
          <w:t>census-designated place</w:t>
        </w:r>
      </w:hyperlink>
      <w:r w:rsidR="008E4A6F">
        <w:t>s</w:t>
      </w:r>
      <w:r w:rsidRPr="00030C05">
        <w:t xml:space="preserve"> (such as </w:t>
      </w:r>
      <w:proofErr w:type="spellStart"/>
      <w:r w:rsidR="006D23D2">
        <w:t>Alcova</w:t>
      </w:r>
      <w:proofErr w:type="spellEnd"/>
      <w:r w:rsidR="009E153E">
        <w:t>)</w:t>
      </w:r>
      <w:r w:rsidR="00696954">
        <w:t xml:space="preserve"> submitted valid forms, </w:t>
      </w:r>
      <w:r w:rsidR="00071551">
        <w:t>which is</w:t>
      </w:r>
      <w:r w:rsidR="00575DDE">
        <w:t xml:space="preserve"> </w:t>
      </w:r>
      <w:r w:rsidR="0070309A">
        <w:t>11 fewer than in 2016.</w:t>
      </w:r>
      <w:r w:rsidR="00575DDE">
        <w:t xml:space="preserve"> </w:t>
      </w:r>
      <w:proofErr w:type="spellStart"/>
      <w:r w:rsidR="00CF7256">
        <w:t>Hyattville</w:t>
      </w:r>
      <w:proofErr w:type="spellEnd"/>
      <w:r w:rsidR="00CF7256">
        <w:t xml:space="preserve"> </w:t>
      </w:r>
      <w:r w:rsidR="00DA3497">
        <w:t xml:space="preserve">did not return any valid checks. </w:t>
      </w:r>
      <w:r w:rsidR="000C79FC" w:rsidRPr="00E11701">
        <w:t xml:space="preserve">The counties that did not return </w:t>
      </w:r>
      <w:r w:rsidR="00DF2950">
        <w:t>alcohol</w:t>
      </w:r>
      <w:r w:rsidR="000C79FC" w:rsidRPr="00E11701">
        <w:t xml:space="preserve"> forms were</w:t>
      </w:r>
      <w:r w:rsidR="00575DDE">
        <w:t xml:space="preserve">: Crook, Hot Springs, </w:t>
      </w:r>
      <w:r w:rsidR="00DF2950">
        <w:t xml:space="preserve">Platte, </w:t>
      </w:r>
      <w:r w:rsidR="00943880">
        <w:t xml:space="preserve">Sublette, </w:t>
      </w:r>
      <w:r w:rsidR="00575DDE">
        <w:t>Washakie, and</w:t>
      </w:r>
      <w:r w:rsidR="001D46F9" w:rsidRPr="00E11701">
        <w:t xml:space="preserve"> Weston</w:t>
      </w:r>
      <w:r w:rsidR="006D23D2" w:rsidRPr="00E11701">
        <w:t xml:space="preserve">. </w:t>
      </w:r>
      <w:r w:rsidR="00E41FB8" w:rsidRPr="00E11701">
        <w:t>The number of checks returned varied greatly</w:t>
      </w:r>
      <w:r w:rsidR="00F27F0A" w:rsidRPr="00E11701">
        <w:t xml:space="preserve"> from one municipality to another;</w:t>
      </w:r>
      <w:r w:rsidR="00E41FB8" w:rsidRPr="00E11701">
        <w:t xml:space="preserve"> </w:t>
      </w:r>
      <w:r w:rsidR="00E11701" w:rsidRPr="00E11701">
        <w:t>Cheyenne</w:t>
      </w:r>
      <w:r w:rsidR="00F27F0A" w:rsidRPr="00E11701">
        <w:t xml:space="preserve"> </w:t>
      </w:r>
      <w:r w:rsidR="00E11701" w:rsidRPr="00E11701">
        <w:t>submitted</w:t>
      </w:r>
      <w:r w:rsidR="00F27F0A" w:rsidRPr="00E11701">
        <w:t xml:space="preserve"> the highest number of </w:t>
      </w:r>
      <w:r w:rsidR="00DF2950">
        <w:t xml:space="preserve">valid </w:t>
      </w:r>
      <w:r w:rsidR="00994DEF" w:rsidRPr="00E11701">
        <w:t>inspections</w:t>
      </w:r>
      <w:r w:rsidR="00F27F0A" w:rsidRPr="00E11701">
        <w:t xml:space="preserve"> (</w:t>
      </w:r>
      <w:r w:rsidR="001D46F9" w:rsidRPr="00E11701">
        <w:t>1</w:t>
      </w:r>
      <w:r w:rsidR="00CF7256">
        <w:t>71</w:t>
      </w:r>
      <w:r w:rsidR="00F27F0A" w:rsidRPr="00E11701">
        <w:t>)</w:t>
      </w:r>
      <w:r w:rsidR="00575DDE">
        <w:t>, followed by Casper (1</w:t>
      </w:r>
      <w:r w:rsidR="00CF7256">
        <w:t>08</w:t>
      </w:r>
      <w:r w:rsidR="00575DDE">
        <w:t>),</w:t>
      </w:r>
      <w:r w:rsidR="00F27F0A" w:rsidRPr="00E11701">
        <w:t xml:space="preserve"> and many small municipalities </w:t>
      </w:r>
      <w:r w:rsidR="00E11701" w:rsidRPr="00E11701">
        <w:t>completed</w:t>
      </w:r>
      <w:r w:rsidR="00CC439D" w:rsidRPr="00E11701">
        <w:t xml:space="preserve"> as </w:t>
      </w:r>
      <w:r w:rsidR="00575DDE">
        <w:t>few</w:t>
      </w:r>
      <w:r w:rsidR="00CC439D" w:rsidRPr="00E11701">
        <w:t xml:space="preserve"> as one </w:t>
      </w:r>
      <w:r w:rsidR="00994DEF" w:rsidRPr="00E11701">
        <w:t>inspection</w:t>
      </w:r>
      <w:r w:rsidR="00CC439D" w:rsidRPr="00E11701">
        <w:t>.</w:t>
      </w:r>
      <w:r w:rsidR="00F27F0A">
        <w:t xml:space="preserve"> </w:t>
      </w:r>
      <w:r w:rsidR="00D132CF">
        <w:t xml:space="preserve"> </w:t>
      </w:r>
    </w:p>
    <w:p w14:paraId="6867844B" w14:textId="3C675F07" w:rsidR="00E329C5" w:rsidRDefault="00F71603" w:rsidP="00E329C5">
      <w:pPr>
        <w:pStyle w:val="FigureTitle"/>
      </w:pPr>
      <w:bookmarkStart w:id="21" w:name="_Toc240865721"/>
      <w:bookmarkStart w:id="22" w:name="_Toc502600924"/>
      <w:r>
        <w:t xml:space="preserve">Figure 3.2. </w:t>
      </w:r>
      <w:r w:rsidR="0027602C">
        <w:t xml:space="preserve">Number of Regions Submitting </w:t>
      </w:r>
      <w:r>
        <w:t xml:space="preserve">Alcohol </w:t>
      </w:r>
      <w:r w:rsidR="00562651">
        <w:t xml:space="preserve">Sales </w:t>
      </w:r>
      <w:r>
        <w:t>Compliance Checks (2007–20</w:t>
      </w:r>
      <w:r w:rsidR="005E5C55">
        <w:t>1</w:t>
      </w:r>
      <w:r w:rsidR="0070309A">
        <w:t>7</w:t>
      </w:r>
      <w:r>
        <w:t>)</w:t>
      </w:r>
      <w:bookmarkEnd w:id="21"/>
      <w:bookmarkEnd w:id="22"/>
    </w:p>
    <w:p w14:paraId="664B3112" w14:textId="47E91745" w:rsidR="00955ABD" w:rsidRDefault="00CF7256" w:rsidP="008E7C75">
      <w:pPr>
        <w:pStyle w:val="BodyText"/>
      </w:pPr>
      <w:r>
        <w:rPr>
          <w:noProof/>
        </w:rPr>
        <w:drawing>
          <wp:inline distT="0" distB="0" distL="0" distR="0" wp14:anchorId="542E8AC8" wp14:editId="62324091">
            <wp:extent cx="5943600" cy="2234565"/>
            <wp:effectExtent l="0" t="0" r="0" b="1333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A67B18" w14:textId="77777777" w:rsidR="0056417A" w:rsidRDefault="0056417A"/>
    <w:p w14:paraId="26CD35B7" w14:textId="77777777" w:rsidR="00774131" w:rsidRDefault="00774131">
      <w:pPr>
        <w:rPr>
          <w:rFonts w:ascii="Garamond" w:hAnsi="Garamond"/>
          <w:szCs w:val="24"/>
          <w:lang w:bidi="ar-SA"/>
        </w:rPr>
      </w:pPr>
      <w:r>
        <w:br w:type="page"/>
      </w:r>
    </w:p>
    <w:p w14:paraId="299279D6" w14:textId="48A9B542" w:rsidR="00A035EA" w:rsidRDefault="00BC12F2" w:rsidP="00F4751E">
      <w:pPr>
        <w:pStyle w:val="BodyText"/>
        <w:jc w:val="both"/>
      </w:pPr>
      <w:r>
        <w:lastRenderedPageBreak/>
        <w:t>Following are the results from the</w:t>
      </w:r>
      <w:r w:rsidR="005F6A28">
        <w:t xml:space="preserve"> alcohol compliance check</w:t>
      </w:r>
      <w:r>
        <w:t xml:space="preserve">s performed </w:t>
      </w:r>
      <w:r w:rsidR="00F97C5B">
        <w:t xml:space="preserve">as part of the </w:t>
      </w:r>
      <w:r>
        <w:t>20</w:t>
      </w:r>
      <w:r w:rsidR="00030C05">
        <w:t>1</w:t>
      </w:r>
      <w:r w:rsidR="00CF7256">
        <w:t>7</w:t>
      </w:r>
      <w:r w:rsidR="00F97C5B">
        <w:t xml:space="preserve"> statewide compliance checks report</w:t>
      </w:r>
      <w:r>
        <w:t>.</w:t>
      </w:r>
      <w:r w:rsidR="005F6A28">
        <w:t xml:space="preserve"> </w:t>
      </w:r>
      <w:r>
        <w:t xml:space="preserve">Compliance rates are presented first </w:t>
      </w:r>
      <w:r w:rsidR="005F6A28">
        <w:t>by county</w:t>
      </w:r>
      <w:r w:rsidR="00A035EA">
        <w:t xml:space="preserve"> (Table 3.1)</w:t>
      </w:r>
      <w:r>
        <w:t>,</w:t>
      </w:r>
      <w:r w:rsidR="005F6A28">
        <w:t xml:space="preserve"> then by municipality</w:t>
      </w:r>
      <w:r w:rsidR="00A035EA">
        <w:t xml:space="preserve"> (Table 3.2)</w:t>
      </w:r>
      <w:r w:rsidR="005F6A28">
        <w:t xml:space="preserve">. </w:t>
      </w:r>
      <w:r w:rsidR="005C7114">
        <w:t>In the county</w:t>
      </w:r>
      <w:r w:rsidR="00A035EA">
        <w:t xml:space="preserve"> table, the name of each l</w:t>
      </w:r>
      <w:r w:rsidR="005F6A28">
        <w:t xml:space="preserve">ocation </w:t>
      </w:r>
      <w:r w:rsidR="00A035EA">
        <w:t xml:space="preserve">is followed </w:t>
      </w:r>
      <w:r w:rsidR="005C7114">
        <w:t xml:space="preserve">by </w:t>
      </w:r>
      <w:r w:rsidR="00A035EA">
        <w:t xml:space="preserve">a superscripted number which represents its relative ranking, with the highest compliance </w:t>
      </w:r>
      <w:r w:rsidR="00180D50">
        <w:t>rate given a rank of one</w:t>
      </w:r>
      <w:r w:rsidR="00A035EA">
        <w:t xml:space="preserve">. </w:t>
      </w:r>
    </w:p>
    <w:p w14:paraId="7358BDBD" w14:textId="34D21F7E" w:rsidR="005F6A28" w:rsidRPr="0032784D" w:rsidRDefault="005F6A28" w:rsidP="00F4751E">
      <w:pPr>
        <w:pStyle w:val="BodyText"/>
        <w:jc w:val="both"/>
      </w:pPr>
      <w:r w:rsidRPr="0032784D">
        <w:t xml:space="preserve">Overall </w:t>
      </w:r>
      <w:r w:rsidR="00942A5E" w:rsidRPr="0032784D">
        <w:t xml:space="preserve">alcohol </w:t>
      </w:r>
      <w:r w:rsidR="00994DEF" w:rsidRPr="0032784D">
        <w:t xml:space="preserve">sales </w:t>
      </w:r>
      <w:r w:rsidRPr="0032784D">
        <w:t xml:space="preserve">compliance for all reporting counties and cities </w:t>
      </w:r>
      <w:r w:rsidRPr="00D94D17">
        <w:t xml:space="preserve">was </w:t>
      </w:r>
      <w:r w:rsidR="00CF7256">
        <w:t>85.4</w:t>
      </w:r>
      <w:r w:rsidRPr="00D94D17">
        <w:t xml:space="preserve">%, </w:t>
      </w:r>
      <w:r w:rsidR="00CF7256">
        <w:t xml:space="preserve">less than a one </w:t>
      </w:r>
      <w:r w:rsidR="00D94D17" w:rsidRPr="00D94D17">
        <w:t>percentage point drop</w:t>
      </w:r>
      <w:r w:rsidR="0032784D" w:rsidRPr="00D94D17">
        <w:t xml:space="preserve"> </w:t>
      </w:r>
      <w:r w:rsidR="00F27F0A" w:rsidRPr="00D94D17">
        <w:t>fr</w:t>
      </w:r>
      <w:r w:rsidR="003432F2" w:rsidRPr="00D94D17">
        <w:t>om</w:t>
      </w:r>
      <w:r w:rsidR="00384B97" w:rsidRPr="00D94D17">
        <w:t xml:space="preserve"> </w:t>
      </w:r>
      <w:r w:rsidR="003432F2" w:rsidRPr="00D94D17">
        <w:t>201</w:t>
      </w:r>
      <w:r w:rsidR="00CF7256">
        <w:t>6</w:t>
      </w:r>
      <w:r w:rsidR="00252F3B" w:rsidRPr="00CF7256">
        <w:rPr>
          <w:rStyle w:val="FootnoteReference"/>
        </w:rPr>
        <w:footnoteReference w:id="2"/>
      </w:r>
      <w:r w:rsidR="00260B9B" w:rsidRPr="00D94D17">
        <w:t>.</w:t>
      </w:r>
      <w:r w:rsidRPr="00D94D17">
        <w:t xml:space="preserve"> It should be noted that different municipalities have submitted checks each year, so this comparison should not be considered </w:t>
      </w:r>
      <w:r w:rsidR="00BC12F2" w:rsidRPr="00D94D17">
        <w:t xml:space="preserve">representative of the </w:t>
      </w:r>
      <w:r w:rsidRPr="00D94D17">
        <w:t>"statewide</w:t>
      </w:r>
      <w:r w:rsidRPr="0032784D">
        <w:t xml:space="preserve"> compliance</w:t>
      </w:r>
      <w:r w:rsidR="00BC12F2" w:rsidRPr="0032784D">
        <w:t xml:space="preserve"> rate</w:t>
      </w:r>
      <w:r w:rsidRPr="0032784D">
        <w:t>" but rather a comparison of the overall compliance rates for those municipalities that submitted forms.</w:t>
      </w:r>
    </w:p>
    <w:p w14:paraId="2E73E1F0" w14:textId="129B380A" w:rsidR="005F6A28" w:rsidRPr="0032784D" w:rsidRDefault="005F6A28" w:rsidP="00F4751E">
      <w:pPr>
        <w:pStyle w:val="BodyText"/>
        <w:jc w:val="both"/>
      </w:pPr>
      <w:r w:rsidRPr="0032784D">
        <w:t xml:space="preserve">Results by county, presented in Table 3.1, indicate that </w:t>
      </w:r>
      <w:r w:rsidR="00CF7256">
        <w:t>Johnson</w:t>
      </w:r>
      <w:r w:rsidRPr="0032784D">
        <w:t xml:space="preserve"> County had </w:t>
      </w:r>
      <w:r w:rsidR="00890FD6">
        <w:t>a perfect</w:t>
      </w:r>
      <w:r w:rsidRPr="0032784D">
        <w:t xml:space="preserve"> </w:t>
      </w:r>
      <w:r w:rsidR="00890FD6">
        <w:t xml:space="preserve">100% alcohol compliance rate, </w:t>
      </w:r>
      <w:r w:rsidR="005B7A30">
        <w:t xml:space="preserve">followed by </w:t>
      </w:r>
      <w:r w:rsidR="00CF7256">
        <w:t>Goshen</w:t>
      </w:r>
      <w:r w:rsidR="008023C2">
        <w:t xml:space="preserve"> (</w:t>
      </w:r>
      <w:r w:rsidR="00890FD6">
        <w:t>9</w:t>
      </w:r>
      <w:r w:rsidR="00CF7256">
        <w:t>1</w:t>
      </w:r>
      <w:r w:rsidR="00890FD6">
        <w:t>.</w:t>
      </w:r>
      <w:r w:rsidR="00CF7256">
        <w:t>7</w:t>
      </w:r>
      <w:r w:rsidR="008023C2">
        <w:t>%)</w:t>
      </w:r>
      <w:r w:rsidR="00CF7256">
        <w:t xml:space="preserve"> and</w:t>
      </w:r>
      <w:r w:rsidR="00890FD6">
        <w:t xml:space="preserve"> Fremont</w:t>
      </w:r>
      <w:r w:rsidR="008023C2">
        <w:t xml:space="preserve"> (</w:t>
      </w:r>
      <w:r w:rsidR="00890FD6">
        <w:t>9</w:t>
      </w:r>
      <w:r w:rsidR="00CF7256">
        <w:t>1</w:t>
      </w:r>
      <w:r w:rsidR="00890FD6">
        <w:t>.</w:t>
      </w:r>
      <w:r w:rsidR="00CF7256">
        <w:t>2</w:t>
      </w:r>
      <w:r w:rsidR="008023C2">
        <w:t>%)</w:t>
      </w:r>
      <w:r w:rsidR="00CF7256">
        <w:t>. Twelve</w:t>
      </w:r>
      <w:r w:rsidR="00D44FA9" w:rsidRPr="0032784D">
        <w:t xml:space="preserve"> </w:t>
      </w:r>
      <w:r w:rsidRPr="0032784D">
        <w:t xml:space="preserve">counties </w:t>
      </w:r>
      <w:r w:rsidR="00384B97" w:rsidRPr="0032784D">
        <w:t>had compliance rates between 8</w:t>
      </w:r>
      <w:r w:rsidR="00933F56" w:rsidRPr="0032784D">
        <w:t>9.9</w:t>
      </w:r>
      <w:r w:rsidR="00384B97" w:rsidRPr="0032784D">
        <w:t xml:space="preserve">% and </w:t>
      </w:r>
      <w:r w:rsidR="00933F56" w:rsidRPr="0032784D">
        <w:t>8</w:t>
      </w:r>
      <w:r w:rsidR="00384B97" w:rsidRPr="0032784D">
        <w:t>0</w:t>
      </w:r>
      <w:r w:rsidR="003432F2" w:rsidRPr="0032784D">
        <w:t>%:</w:t>
      </w:r>
      <w:r w:rsidR="00CF7256">
        <w:t xml:space="preserve"> Campbell (89.8%), Carbon (88.9%), Sheridan (88.6%), Natrona (86.6%), Uinta (86.4%), Albany (85.3%), Park (85.2%), Big Horn (85.0%), Converse (84.8%), Laramie (83.6%), Niobrara (83.3%), and Lincoln (81.7%).</w:t>
      </w:r>
      <w:r w:rsidR="00890FD6">
        <w:t xml:space="preserve"> </w:t>
      </w:r>
      <w:r w:rsidR="008023C2">
        <w:t xml:space="preserve">The </w:t>
      </w:r>
      <w:r w:rsidR="00890FD6">
        <w:t xml:space="preserve">two least compliant counties were: </w:t>
      </w:r>
      <w:r w:rsidR="00CF7256">
        <w:t xml:space="preserve">Teton (77.4%) and Sweetwater (74.6%). </w:t>
      </w:r>
      <w:r w:rsidR="00C7075E" w:rsidRPr="0032784D">
        <w:t xml:space="preserve"> </w:t>
      </w:r>
    </w:p>
    <w:p w14:paraId="2EAF8BC8" w14:textId="57346617" w:rsidR="0075101F" w:rsidRDefault="00D8590E" w:rsidP="00890FD6">
      <w:pPr>
        <w:pStyle w:val="BodyText"/>
        <w:jc w:val="both"/>
      </w:pPr>
      <w:r w:rsidRPr="009B3488">
        <w:t>Table 3.</w:t>
      </w:r>
      <w:r w:rsidR="005F6A28" w:rsidRPr="009B3488">
        <w:t>2</w:t>
      </w:r>
      <w:r w:rsidRPr="009B3488">
        <w:t xml:space="preserve"> </w:t>
      </w:r>
      <w:r w:rsidR="00E329C5" w:rsidRPr="009B3488">
        <w:t>displays</w:t>
      </w:r>
      <w:r w:rsidRPr="009B3488">
        <w:t xml:space="preserve"> the alcohol </w:t>
      </w:r>
      <w:r w:rsidR="00994DEF" w:rsidRPr="009B3488">
        <w:t xml:space="preserve">sales </w:t>
      </w:r>
      <w:r w:rsidRPr="009B3488">
        <w:t>compliance rate</w:t>
      </w:r>
      <w:r w:rsidR="00F27F0A" w:rsidRPr="009B3488">
        <w:t>s</w:t>
      </w:r>
      <w:r w:rsidRPr="009B3488">
        <w:t xml:space="preserve"> and </w:t>
      </w:r>
      <w:r w:rsidR="00E77095">
        <w:t>violations/</w:t>
      </w:r>
      <w:r w:rsidRPr="009B3488">
        <w:t>infraction</w:t>
      </w:r>
      <w:r w:rsidR="005E1C61" w:rsidRPr="009B3488">
        <w:t>s</w:t>
      </w:r>
      <w:r w:rsidRPr="009B3488">
        <w:t xml:space="preserve"> </w:t>
      </w:r>
      <w:r w:rsidR="00F27F0A" w:rsidRPr="009B3488">
        <w:t>for</w:t>
      </w:r>
      <w:r w:rsidR="00844C17" w:rsidRPr="009B3488">
        <w:t xml:space="preserve"> </w:t>
      </w:r>
      <w:r w:rsidR="005F6A28" w:rsidRPr="009B3488">
        <w:t>municipalit</w:t>
      </w:r>
      <w:r w:rsidR="0068619D" w:rsidRPr="009B3488">
        <w:t xml:space="preserve">ies </w:t>
      </w:r>
      <w:r w:rsidR="00844C17" w:rsidRPr="009B3488">
        <w:t xml:space="preserve">listed alphabetically </w:t>
      </w:r>
      <w:r w:rsidR="00C406CD" w:rsidRPr="009B3488">
        <w:t>and</w:t>
      </w:r>
      <w:r w:rsidRPr="009B3488">
        <w:t xml:space="preserve"> </w:t>
      </w:r>
      <w:r w:rsidR="00844C17" w:rsidRPr="009B3488">
        <w:t>T</w:t>
      </w:r>
      <w:r w:rsidR="00C406CD" w:rsidRPr="009B3488">
        <w:t>able 3.3 summarizes municipalities in</w:t>
      </w:r>
      <w:r w:rsidR="00994DEF" w:rsidRPr="009B3488">
        <w:t xml:space="preserve"> groups of decreasing compliance</w:t>
      </w:r>
      <w:r w:rsidR="00C406CD" w:rsidRPr="009B3488">
        <w:t xml:space="preserve">. </w:t>
      </w:r>
      <w:r w:rsidR="00F76D8E">
        <w:t>Twelve</w:t>
      </w:r>
      <w:r w:rsidR="00C406CD" w:rsidRPr="009B3488">
        <w:t xml:space="preserve"> had </w:t>
      </w:r>
      <w:r w:rsidR="00844C17" w:rsidRPr="009B3488">
        <w:t xml:space="preserve">a </w:t>
      </w:r>
      <w:r w:rsidR="00C406CD" w:rsidRPr="009B3488">
        <w:t xml:space="preserve">100% compliance rate. </w:t>
      </w:r>
      <w:r w:rsidR="00890FD6">
        <w:t xml:space="preserve">Meanwhile, </w:t>
      </w:r>
      <w:r w:rsidR="00F76D8E">
        <w:t xml:space="preserve">Lance Creek </w:t>
      </w:r>
      <w:r w:rsidR="00890FD6">
        <w:t>ha</w:t>
      </w:r>
      <w:r w:rsidR="00C406CD" w:rsidRPr="009B3488">
        <w:t xml:space="preserve">d </w:t>
      </w:r>
      <w:r w:rsidR="00F76D8E">
        <w:t xml:space="preserve">a </w:t>
      </w:r>
      <w:r w:rsidR="0075101F" w:rsidRPr="009B3488">
        <w:t xml:space="preserve">compliance </w:t>
      </w:r>
      <w:r w:rsidR="00C406CD" w:rsidRPr="009B3488">
        <w:t xml:space="preserve">rate </w:t>
      </w:r>
      <w:r w:rsidR="009B3488">
        <w:t>of</w:t>
      </w:r>
      <w:r w:rsidR="00C406CD" w:rsidRPr="009B3488">
        <w:t xml:space="preserve"> </w:t>
      </w:r>
      <w:r w:rsidR="00890FD6">
        <w:t>0</w:t>
      </w:r>
      <w:r w:rsidR="00C406CD" w:rsidRPr="009B3488">
        <w:t xml:space="preserve">%. </w:t>
      </w:r>
      <w:r w:rsidR="00890FD6">
        <w:t>One</w:t>
      </w:r>
      <w:r w:rsidR="00F64EE1">
        <w:t xml:space="preserve"> municipality</w:t>
      </w:r>
      <w:r w:rsidR="009B3488">
        <w:t xml:space="preserve">, </w:t>
      </w:r>
      <w:proofErr w:type="spellStart"/>
      <w:r w:rsidR="00F76D8E">
        <w:t>Hyattville</w:t>
      </w:r>
      <w:proofErr w:type="spellEnd"/>
      <w:r w:rsidR="009B3488">
        <w:t xml:space="preserve">, </w:t>
      </w:r>
      <w:r w:rsidR="00890FD6">
        <w:t>returned only one alcohol compliance check but it was not valid.</w:t>
      </w:r>
      <w:r w:rsidR="009B3488">
        <w:t xml:space="preserve"> </w:t>
      </w:r>
      <w:r w:rsidR="00AE4322" w:rsidRPr="009B3488">
        <w:t>M</w:t>
      </w:r>
      <w:r w:rsidR="003F08FB" w:rsidRPr="009B3488">
        <w:t xml:space="preserve">any of these municipalities </w:t>
      </w:r>
      <w:r w:rsidR="00844C17" w:rsidRPr="009B3488">
        <w:t>had</w:t>
      </w:r>
      <w:r w:rsidR="003F08FB" w:rsidRPr="009B3488">
        <w:t xml:space="preserve"> very small sample sizes (5 or less) which </w:t>
      </w:r>
      <w:r w:rsidR="00FF21A0" w:rsidRPr="009B3488">
        <w:t xml:space="preserve">are more likely to </w:t>
      </w:r>
      <w:r w:rsidR="003F08FB" w:rsidRPr="009B3488">
        <w:t>result in extreme rates (100% or 0%).</w:t>
      </w:r>
      <w:r w:rsidR="003F08FB">
        <w:t xml:space="preserve"> </w:t>
      </w:r>
      <w:bookmarkStart w:id="23" w:name="_Toc240776885"/>
    </w:p>
    <w:p w14:paraId="1F923819" w14:textId="77777777" w:rsidR="00030C05" w:rsidRDefault="00030C05" w:rsidP="0075101F">
      <w:pPr>
        <w:pStyle w:val="BodyText"/>
        <w:jc w:val="both"/>
        <w:rPr>
          <w:rFonts w:ascii="Arial" w:hAnsi="Arial"/>
          <w:b/>
          <w:sz w:val="18"/>
        </w:rPr>
      </w:pPr>
      <w:r>
        <w:br w:type="page"/>
      </w:r>
    </w:p>
    <w:p w14:paraId="477ED2A6" w14:textId="0F04CFBE" w:rsidR="005C22CF" w:rsidRDefault="005C22CF" w:rsidP="00A035EA">
      <w:pPr>
        <w:pStyle w:val="TableTitle"/>
        <w:ind w:left="-180"/>
      </w:pPr>
      <w:bookmarkStart w:id="24" w:name="_Toc502600917"/>
      <w:r w:rsidRPr="00C0523B">
        <w:lastRenderedPageBreak/>
        <w:t>Table 3.</w:t>
      </w:r>
      <w:r>
        <w:t>1</w:t>
      </w:r>
      <w:r w:rsidRPr="00C0523B">
        <w:t xml:space="preserve">. Alcohol </w:t>
      </w:r>
      <w:r w:rsidR="00994DEF">
        <w:t xml:space="preserve">Sales </w:t>
      </w:r>
      <w:r w:rsidRPr="00C0523B">
        <w:t>Compliance Rate</w:t>
      </w:r>
      <w:r w:rsidR="00562651">
        <w:t>s</w:t>
      </w:r>
      <w:r w:rsidRPr="00C0523B">
        <w:t xml:space="preserve"> and Number of Violations by County</w:t>
      </w:r>
      <w:bookmarkEnd w:id="23"/>
      <w:r>
        <w:t xml:space="preserve"> (20</w:t>
      </w:r>
      <w:r w:rsidR="005E5C55">
        <w:t>1</w:t>
      </w:r>
      <w:r w:rsidR="00F5426A">
        <w:t>7</w:t>
      </w:r>
      <w:r>
        <w:t>)</w:t>
      </w:r>
      <w:r w:rsidR="00994DEF">
        <w:rPr>
          <w:rFonts w:cs="Arial"/>
        </w:rPr>
        <w:t>*</w:t>
      </w:r>
      <w:bookmarkEnd w:id="24"/>
    </w:p>
    <w:tbl>
      <w:tblPr>
        <w:tblW w:w="9688" w:type="dxa"/>
        <w:tblInd w:w="-72" w:type="dxa"/>
        <w:tblLook w:val="04A0" w:firstRow="1" w:lastRow="0" w:firstColumn="1" w:lastColumn="0" w:noHBand="0" w:noVBand="1"/>
      </w:tblPr>
      <w:tblGrid>
        <w:gridCol w:w="1569"/>
        <w:gridCol w:w="1359"/>
        <w:gridCol w:w="1354"/>
        <w:gridCol w:w="1353"/>
        <w:gridCol w:w="1353"/>
        <w:gridCol w:w="1340"/>
        <w:gridCol w:w="1360"/>
      </w:tblGrid>
      <w:tr w:rsidR="00547686" w:rsidRPr="00696B7F" w14:paraId="766B67D7" w14:textId="77777777" w:rsidTr="00DD192D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2D659" w14:textId="77777777" w:rsidR="00547686" w:rsidRPr="00DD192D" w:rsidRDefault="00547686" w:rsidP="00547686">
            <w:pPr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5F5BE4A" w14:textId="77777777" w:rsidR="00547686" w:rsidRPr="00DD192D" w:rsidRDefault="00547686" w:rsidP="00547686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Valid Alcohol Compliance Checks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4F92124B" w14:textId="6D53CD4E" w:rsidR="00547686" w:rsidRPr="00547686" w:rsidRDefault="00547686" w:rsidP="0054768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bidi="ar-SA"/>
              </w:rPr>
            </w:pPr>
            <w:r w:rsidRPr="00547686">
              <w:rPr>
                <w:rFonts w:ascii="Garamond" w:hAnsi="Garamond"/>
                <w:b/>
                <w:bCs/>
                <w:color w:val="FFFFFF" w:themeColor="background1"/>
                <w:sz w:val="22"/>
                <w:szCs w:val="17"/>
                <w:lang w:bidi="ar-SA"/>
              </w:rPr>
              <w:t>No Infractions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31D4B94A" w14:textId="42BDC324" w:rsidR="00547686" w:rsidRPr="00547686" w:rsidRDefault="00547686" w:rsidP="0054768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bidi="ar-SA"/>
              </w:rPr>
            </w:pPr>
            <w:r w:rsidRPr="00547686">
              <w:rPr>
                <w:rFonts w:ascii="Garamond" w:hAnsi="Garamond"/>
                <w:b/>
                <w:bCs/>
                <w:color w:val="FFFFFF" w:themeColor="background1"/>
                <w:sz w:val="22"/>
                <w:szCs w:val="17"/>
                <w:lang w:bidi="ar-SA"/>
              </w:rPr>
              <w:t>Prohibited Sales Violation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48D510E4" w14:textId="24BCF5BE" w:rsidR="00547686" w:rsidRPr="00547686" w:rsidRDefault="00547686" w:rsidP="0054768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  <w:lang w:bidi="ar-SA"/>
              </w:rPr>
            </w:pPr>
            <w:r w:rsidRPr="00547686">
              <w:rPr>
                <w:rFonts w:ascii="Garamond" w:hAnsi="Garamond"/>
                <w:b/>
                <w:bCs/>
                <w:color w:val="FFFFFF" w:themeColor="background1"/>
                <w:sz w:val="22"/>
                <w:szCs w:val="17"/>
                <w:lang w:bidi="ar-SA"/>
              </w:rPr>
              <w:t>Prohibited Sales Warning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30F5DFD5" w14:textId="77777777" w:rsidR="00547686" w:rsidRPr="00DD192D" w:rsidRDefault="00547686" w:rsidP="00547686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Closed or Does Not Sell Alcohol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6398C286" w14:textId="77777777" w:rsidR="00547686" w:rsidRPr="00DD192D" w:rsidRDefault="00547686" w:rsidP="00547686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Compliance Rate</w:t>
            </w:r>
          </w:p>
        </w:tc>
      </w:tr>
      <w:tr w:rsidR="00696B7F" w:rsidRPr="00696B7F" w14:paraId="1C47DC6B" w14:textId="77777777" w:rsidTr="00DD192D">
        <w:trPr>
          <w:trHeight w:val="525"/>
        </w:trPr>
        <w:tc>
          <w:tcPr>
            <w:tcW w:w="15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117BA928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  <w:t>County</w:t>
            </w:r>
          </w:p>
        </w:tc>
        <w:tc>
          <w:tcPr>
            <w:tcW w:w="13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5015155C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53E13C3E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02D0FDDB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6A75A2E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7D3B6336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6A5A10EA" w14:textId="77777777" w:rsidR="00696B7F" w:rsidRPr="00DD192D" w:rsidRDefault="00696B7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</w:tr>
      <w:tr w:rsidR="00F5426A" w:rsidRPr="00696B7F" w14:paraId="1BD18454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FAE92" w14:textId="67B9FB3F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ar-SA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Albany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8C546" w14:textId="741C700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4C4AD" w14:textId="0203523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bidi="ar-SA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A0E2B" w14:textId="54765B3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E61FD" w14:textId="5B95B57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1DCA3" w14:textId="195F12A3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A15C1" w14:textId="6F5AB57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bidi="ar-SA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85.3%</w:t>
            </w:r>
          </w:p>
        </w:tc>
      </w:tr>
      <w:tr w:rsidR="00F5426A" w:rsidRPr="00696B7F" w14:paraId="1D3B188F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CE3D9E" w14:textId="52EAC872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Big Horn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1EAB98" w14:textId="05F1075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9ADD9" w14:textId="0AB3CF4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7F508B" w14:textId="2F22B60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41E839" w14:textId="61ACD91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7692C5" w14:textId="3F1239C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EE97505" w14:textId="39404883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85.0%</w:t>
            </w:r>
          </w:p>
        </w:tc>
      </w:tr>
      <w:tr w:rsidR="00F5426A" w:rsidRPr="00696B7F" w14:paraId="579FD28A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9F452" w14:textId="25EB6C8A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Campbell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EEDD8" w14:textId="722A97A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73B48" w14:textId="670938E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9FB64" w14:textId="67DA237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E1B0C" w14:textId="36900CC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06E9B" w14:textId="4F475276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0295" w14:textId="7E3351B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89.8%</w:t>
            </w:r>
          </w:p>
        </w:tc>
      </w:tr>
      <w:tr w:rsidR="00F5426A" w:rsidRPr="00696B7F" w14:paraId="6AC42D36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CCBC1" w14:textId="310CA0F8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Carbon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0179DC" w14:textId="11D35D1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ACE975" w14:textId="74A7BD7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84DCA2" w14:textId="621D0E5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11165C" w14:textId="0FBD219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93834A" w14:textId="65BD5CF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208CBE" w14:textId="2CA5414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88.9%</w:t>
            </w:r>
          </w:p>
        </w:tc>
      </w:tr>
      <w:tr w:rsidR="00F5426A" w:rsidRPr="00696B7F" w14:paraId="03B23C25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768CE" w14:textId="0108BC61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Converse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C67CC" w14:textId="5AC64C2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E975" w14:textId="0464950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71103" w14:textId="21B679C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45BF6" w14:textId="706B66C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8A4DE" w14:textId="635351D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98A79" w14:textId="0E78562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84.8%</w:t>
            </w:r>
          </w:p>
        </w:tc>
      </w:tr>
      <w:tr w:rsidR="00F5426A" w:rsidRPr="00696B7F" w14:paraId="25172DD9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BA1867" w14:textId="61478E21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Fremont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4713C3" w14:textId="398D682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CE12B4" w14:textId="00E1D8D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B06EB1" w14:textId="73498CA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9333F9" w14:textId="67A67C06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3DAFBA" w14:textId="78F0D9F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08B24FF" w14:textId="4AE6556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91.2%</w:t>
            </w:r>
          </w:p>
        </w:tc>
      </w:tr>
      <w:tr w:rsidR="00F5426A" w:rsidRPr="00696B7F" w14:paraId="77A2BD90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694E9" w14:textId="14010A3D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Goshen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B4F29" w14:textId="01685D78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8D1A7" w14:textId="1BD6656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D3F4" w14:textId="0AFD5C6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2FAC7" w14:textId="34CF29B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B748A" w14:textId="0A80DD9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2C095" w14:textId="0CC296B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91.7%</w:t>
            </w:r>
          </w:p>
        </w:tc>
      </w:tr>
      <w:tr w:rsidR="00F5426A" w:rsidRPr="00696B7F" w14:paraId="6D17CBFE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4F2850" w14:textId="103EF6AE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Johnson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CA473A" w14:textId="201D5918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1B3E74" w14:textId="20EF9EB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37E5CC" w14:textId="23A7812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778E0A" w14:textId="6C132BC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90E1AF" w14:textId="3683F2C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C2EDE6D" w14:textId="7F05D7C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100.0%</w:t>
            </w:r>
          </w:p>
        </w:tc>
      </w:tr>
      <w:tr w:rsidR="00F5426A" w:rsidRPr="00696B7F" w14:paraId="6C556555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F9CBA8" w14:textId="17A51E8C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Laramie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06B397" w14:textId="1E3376B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2246D3E" w14:textId="375EDFF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7F9EA4" w14:textId="4DC1EBA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F5DF7B" w14:textId="2379597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8B4CB9" w14:textId="016A7CE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0B2348" w14:textId="6D47879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83.6%</w:t>
            </w:r>
          </w:p>
        </w:tc>
      </w:tr>
      <w:tr w:rsidR="00F5426A" w:rsidRPr="00696B7F" w14:paraId="3A3DE6D8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1D6877" w14:textId="04A6AF6E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Lincoln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3D5700" w14:textId="6C2A3AA5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3F7690" w14:textId="2B18C28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B44ACE" w14:textId="6FEC89B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A6882A" w14:textId="606D14C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C2B076" w14:textId="53C3706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F88CC9" w14:textId="0BBC3C9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81.7%</w:t>
            </w:r>
          </w:p>
        </w:tc>
      </w:tr>
      <w:tr w:rsidR="00F5426A" w:rsidRPr="00696B7F" w14:paraId="6CC75F0F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CDAE8D" w14:textId="3AE789E5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Natrona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AE5F5E" w14:textId="4F6E5662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8D74A3" w14:textId="56F4D766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DC062BC" w14:textId="09F8502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98B81E" w14:textId="1628AC5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DC0713" w14:textId="316723F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085C3D" w14:textId="5CDCCA8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86.6%</w:t>
            </w:r>
          </w:p>
        </w:tc>
      </w:tr>
      <w:tr w:rsidR="00F5426A" w:rsidRPr="00696B7F" w14:paraId="0DE95FF2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96A68E" w14:textId="5813CDD5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Niobrara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8062D7" w14:textId="1D533FB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5C8FFF" w14:textId="1DBF332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0D04D4" w14:textId="4B1B494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7EEEAA" w14:textId="70D7BD6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96CBB2" w14:textId="1F8AF01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11140A3" w14:textId="302A6992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83.3%</w:t>
            </w:r>
          </w:p>
        </w:tc>
      </w:tr>
      <w:tr w:rsidR="00F5426A" w:rsidRPr="00696B7F" w14:paraId="21724AED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127944" w14:textId="07069349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8C30D71" w14:textId="6620C22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DE78137" w14:textId="11C45FC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54FAAA" w14:textId="359A3AF1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82123DF" w14:textId="78D4027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6A133A" w14:textId="78709EE5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2708385" w14:textId="138CB29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85.2%</w:t>
            </w:r>
          </w:p>
        </w:tc>
      </w:tr>
      <w:tr w:rsidR="00F5426A" w:rsidRPr="00696B7F" w14:paraId="6C738639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B1361F" w14:textId="516648BB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Sheridan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761CCE" w14:textId="17AC77B8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3BC0A3" w14:textId="4E79830B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59F0BA" w14:textId="26A5157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74E7CC" w14:textId="263623B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ED6598" w14:textId="060606D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5F70B4" w14:textId="30423A22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88.6%</w:t>
            </w:r>
          </w:p>
        </w:tc>
      </w:tr>
      <w:tr w:rsidR="00F5426A" w:rsidRPr="00696B7F" w14:paraId="229A7CC1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F13AEF" w14:textId="3FBFAE8C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Sweetwater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6EB0FA" w14:textId="77BCE8C4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882B9B" w14:textId="253A8CC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6FDA969" w14:textId="5238A05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58DB4B" w14:textId="616CEE58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E17DED" w14:textId="2B0088A7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0A8B0FC" w14:textId="4E872A9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74.6%</w:t>
            </w:r>
          </w:p>
        </w:tc>
      </w:tr>
      <w:tr w:rsidR="00F5426A" w:rsidRPr="00696B7F" w14:paraId="1C64F092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B0BD59" w14:textId="5EDE045F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Teton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5CD2E0" w14:textId="327A888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12C986" w14:textId="21D36A92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C9CD9A" w14:textId="46AC353C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E1886D" w14:textId="5783229A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3BA4A0" w14:textId="5CD345AF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275E99" w14:textId="30253F50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77.4%</w:t>
            </w:r>
          </w:p>
        </w:tc>
      </w:tr>
      <w:tr w:rsidR="00F5426A" w:rsidRPr="00696B7F" w14:paraId="1CE57777" w14:textId="77777777" w:rsidTr="00F5426A">
        <w:trPr>
          <w:trHeight w:val="43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76DD479" w14:textId="04752553" w:rsidR="00F5426A" w:rsidRPr="00F5426A" w:rsidRDefault="00F5426A" w:rsidP="00F542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542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Uinta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7D1213" w14:textId="1FFAB9C1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2B673B" w14:textId="70B4E4D9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23ED85" w14:textId="66BC3A76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15BCBCC" w14:textId="5E1BB4C8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9A6520F" w14:textId="67F3366B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CA6FA84" w14:textId="787B97EF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86.4%</w:t>
            </w:r>
          </w:p>
        </w:tc>
      </w:tr>
      <w:tr w:rsidR="00F5426A" w:rsidRPr="000F7007" w14:paraId="4FCDD6D7" w14:textId="77777777" w:rsidTr="00F5426A">
        <w:trPr>
          <w:trHeight w:val="435"/>
        </w:trPr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68F38A17" w14:textId="4099A9B4" w:rsidR="00F5426A" w:rsidRPr="000F7007" w:rsidRDefault="00F5426A" w:rsidP="00F5426A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F7007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62058366" w14:textId="2B78EE37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1230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088EC13E" w14:textId="09F7BBDE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1050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67980B30" w14:textId="0C9B377D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169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4EF21BF6" w14:textId="26897996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392778F2" w14:textId="3AF16778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  <w:vAlign w:val="center"/>
          </w:tcPr>
          <w:p w14:paraId="3A57A7D1" w14:textId="5FD1EA09" w:rsidR="00F5426A" w:rsidRPr="00F5426A" w:rsidRDefault="00F5426A" w:rsidP="00F5426A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5426A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85.4%</w:t>
            </w:r>
          </w:p>
        </w:tc>
      </w:tr>
    </w:tbl>
    <w:p w14:paraId="26B7CEBF" w14:textId="77777777" w:rsidR="005C22CF" w:rsidRPr="00045359" w:rsidRDefault="005C22CF" w:rsidP="005C22CF">
      <w:pPr>
        <w:pStyle w:val="FigureTitle"/>
        <w:rPr>
          <w:i/>
        </w:rPr>
      </w:pPr>
    </w:p>
    <w:p w14:paraId="74834AA7" w14:textId="77777777" w:rsidR="008130A8" w:rsidRPr="00045359" w:rsidRDefault="00FD13B5" w:rsidP="00890FD6">
      <w:pPr>
        <w:rPr>
          <w:rFonts w:ascii="Garamond" w:hAnsi="Garamond"/>
          <w:bCs/>
          <w:i/>
          <w:iCs/>
          <w:kern w:val="32"/>
          <w:szCs w:val="28"/>
          <w:lang w:bidi="ar-SA"/>
        </w:rPr>
      </w:pPr>
      <w:r w:rsidRPr="00045359">
        <w:rPr>
          <w:i/>
          <w:sz w:val="20"/>
        </w:rPr>
        <w:t>* The name of each location is followed by a superscripted number which represents its relative ranking, with the highest compliance rate given a rank of one.</w:t>
      </w:r>
    </w:p>
    <w:p w14:paraId="6BD3DDA1" w14:textId="77777777" w:rsidR="00CC1A73" w:rsidRDefault="00CC1A73" w:rsidP="005C22CF">
      <w:pPr>
        <w:rPr>
          <w:rFonts w:ascii="Garamond" w:hAnsi="Garamond"/>
          <w:bCs/>
          <w:iCs/>
          <w:kern w:val="32"/>
          <w:sz w:val="32"/>
          <w:szCs w:val="28"/>
          <w:lang w:bidi="ar-SA"/>
        </w:rPr>
      </w:pPr>
    </w:p>
    <w:p w14:paraId="39EA5828" w14:textId="77777777" w:rsidR="00FD13B5" w:rsidRDefault="00FD13B5" w:rsidP="005C22CF">
      <w:pPr>
        <w:rPr>
          <w:rFonts w:ascii="Garamond" w:hAnsi="Garamond"/>
          <w:bCs/>
          <w:iCs/>
          <w:kern w:val="32"/>
          <w:sz w:val="32"/>
          <w:szCs w:val="28"/>
          <w:lang w:bidi="ar-SA"/>
        </w:rPr>
        <w:sectPr w:rsidR="00FD13B5" w:rsidSect="00EA0F47">
          <w:headerReference w:type="default" r:id="rId15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E44DB4F" w14:textId="77777777" w:rsidR="005C7114" w:rsidRPr="005C7114" w:rsidRDefault="005C7114" w:rsidP="005C7114">
      <w:pPr>
        <w:pStyle w:val="BodyText"/>
        <w:spacing w:after="0"/>
        <w:rPr>
          <w:sz w:val="6"/>
        </w:rPr>
      </w:pPr>
      <w:bookmarkStart w:id="25" w:name="_Toc240776884"/>
    </w:p>
    <w:p w14:paraId="6DBBAE7F" w14:textId="6D533E31" w:rsidR="005345B3" w:rsidRDefault="00034DC4" w:rsidP="007D3A2D">
      <w:pPr>
        <w:pStyle w:val="TableTitle"/>
        <w:ind w:left="-630"/>
      </w:pPr>
      <w:bookmarkStart w:id="26" w:name="_Toc502600918"/>
      <w:r w:rsidRPr="00C0523B">
        <w:t>Table 3.</w:t>
      </w:r>
      <w:r w:rsidR="005C22CF">
        <w:t>2</w:t>
      </w:r>
      <w:r w:rsidRPr="00C0523B">
        <w:t xml:space="preserve">. </w:t>
      </w:r>
      <w:r w:rsidR="00A341F0" w:rsidRPr="00C0523B">
        <w:t xml:space="preserve">Alcohol </w:t>
      </w:r>
      <w:r w:rsidR="00994DEF">
        <w:t xml:space="preserve">Sales </w:t>
      </w:r>
      <w:r w:rsidRPr="00C0523B">
        <w:t>Compliance Rate</w:t>
      </w:r>
      <w:r w:rsidR="00562651">
        <w:t>s</w:t>
      </w:r>
      <w:r w:rsidRPr="00C0523B">
        <w:t xml:space="preserve"> and Number of Violations by </w:t>
      </w:r>
      <w:bookmarkEnd w:id="25"/>
      <w:r w:rsidR="005F6A28">
        <w:t>Municipality</w:t>
      </w:r>
      <w:r w:rsidR="00F71603">
        <w:t xml:space="preserve"> (20</w:t>
      </w:r>
      <w:r w:rsidR="005E5C55">
        <w:t>1</w:t>
      </w:r>
      <w:r w:rsidR="00F5426A">
        <w:t>7</w:t>
      </w:r>
      <w:r w:rsidR="00F71603">
        <w:t>)</w:t>
      </w:r>
      <w:bookmarkEnd w:id="26"/>
    </w:p>
    <w:tbl>
      <w:tblPr>
        <w:tblW w:w="10620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212"/>
        <w:gridCol w:w="1212"/>
        <w:gridCol w:w="1212"/>
        <w:gridCol w:w="1212"/>
        <w:gridCol w:w="1212"/>
        <w:gridCol w:w="1212"/>
      </w:tblGrid>
      <w:tr w:rsidR="00DD192D" w:rsidRPr="00DD192D" w14:paraId="69A88AB3" w14:textId="77777777" w:rsidTr="003F6567">
        <w:trPr>
          <w:trHeight w:val="240"/>
        </w:trPr>
        <w:tc>
          <w:tcPr>
            <w:tcW w:w="1548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14:paraId="41737948" w14:textId="77777777" w:rsidR="008E4A6F" w:rsidRPr="00DD192D" w:rsidRDefault="008E4A6F" w:rsidP="00073EAE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0"/>
                <w:lang w:bidi="ar-SA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0890A" w14:textId="77777777" w:rsidR="008E4A6F" w:rsidRPr="00DD192D" w:rsidRDefault="008E4A6F" w:rsidP="00696B7F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0"/>
                <w:lang w:bidi="ar-SA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D95FBDA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Valid Alcohol Compliance Checks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DEBD560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No Infractions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3B65B564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Prohibited Sales Violation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47EC9E49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Prohibited Sales Warning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B813201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Closed or Does Not Sell Alcohol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06684841" w14:textId="77777777" w:rsidR="008E4A6F" w:rsidRPr="003F6567" w:rsidRDefault="008E4A6F" w:rsidP="00696B7F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</w:pPr>
            <w:r w:rsidRPr="003F6567">
              <w:rPr>
                <w:rFonts w:ascii="Garamond" w:hAnsi="Garamond"/>
                <w:b/>
                <w:bCs/>
                <w:color w:val="FFFFFF" w:themeColor="background1"/>
                <w:sz w:val="17"/>
                <w:szCs w:val="17"/>
                <w:lang w:bidi="ar-SA"/>
              </w:rPr>
              <w:t>Compliance Rate</w:t>
            </w:r>
          </w:p>
        </w:tc>
      </w:tr>
      <w:tr w:rsidR="00DD192D" w:rsidRPr="00DD192D" w14:paraId="525C9E0E" w14:textId="77777777" w:rsidTr="003F6567">
        <w:trPr>
          <w:trHeight w:val="33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center"/>
          </w:tcPr>
          <w:p w14:paraId="01DDF1DD" w14:textId="77777777" w:rsidR="008E4A6F" w:rsidRPr="00DD192D" w:rsidRDefault="008E4A6F" w:rsidP="00073EAE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County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3A944FED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Municipality</w:t>
            </w: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66CB0A1E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16501BA2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1A40DD90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45808A45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6F45524E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517360FD" w14:textId="77777777" w:rsidR="008E4A6F" w:rsidRPr="00DD192D" w:rsidRDefault="008E4A6F" w:rsidP="00696B7F">
            <w:pPr>
              <w:rPr>
                <w:rFonts w:ascii="Garamond" w:hAnsi="Garamond"/>
                <w:b/>
                <w:bCs/>
                <w:color w:val="FFFFFF" w:themeColor="background1"/>
                <w:sz w:val="18"/>
                <w:szCs w:val="18"/>
                <w:lang w:bidi="ar-SA"/>
              </w:rPr>
            </w:pPr>
          </w:p>
        </w:tc>
      </w:tr>
      <w:tr w:rsidR="005E1022" w:rsidRPr="00F3428B" w14:paraId="336DFC8B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949285" w14:textId="3AF3ECF4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C5ED94" w14:textId="3AD62E6C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Afton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382ADE" w14:textId="0F83E31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D17A43" w14:textId="51AB7F1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4C4098" w14:textId="3B373C6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56E267" w14:textId="5114BA8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388BCB" w14:textId="2344534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57C6AF" w14:textId="0F3B0E1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87.5%</w:t>
            </w:r>
          </w:p>
        </w:tc>
      </w:tr>
      <w:tr w:rsidR="005E1022" w:rsidRPr="00F3428B" w14:paraId="785C06F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3997" w14:textId="45BFC0A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40836" w14:textId="684E6ADB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Alcova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BB57E" w14:textId="6798D05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E6D42" w14:textId="6C7D6BB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1F38" w14:textId="229A9B6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48190" w14:textId="2048C0B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B301B" w14:textId="221627D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13787" w14:textId="47022FA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21AEA68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841229" w14:textId="2366497F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B9A668" w14:textId="261E633B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Alpine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1B2D5" w14:textId="39EAF26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A6610E" w14:textId="056175D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E64175" w14:textId="06F2839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6A0A81" w14:textId="20AEDA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21F15F" w14:textId="6EF1CB4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135A2AE" w14:textId="4D10F0C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88.9%</w:t>
            </w:r>
          </w:p>
        </w:tc>
      </w:tr>
      <w:tr w:rsidR="005E1022" w:rsidRPr="00F3428B" w14:paraId="585397B2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8786" w14:textId="76D19CF5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6EA89" w14:textId="627F4AA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Atlantic City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4EDB" w14:textId="1DF12DB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DED2A" w14:textId="4873031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05AA5" w14:textId="7F4A8C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2457C" w14:textId="69EDC03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05BD8" w14:textId="60F4316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05759" w14:textId="13194A4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3CB4EE8E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EF6181" w14:textId="485EE46B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7C638A" w14:textId="7B6DC638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Bar Nunn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035829" w14:textId="4C43BFF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59EB1F" w14:textId="5E29353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9DD004" w14:textId="6DEB2C7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41F56E" w14:textId="72158E8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715DD8" w14:textId="400974A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29FBFD" w14:textId="45CC4F7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75.0%</w:t>
            </w:r>
          </w:p>
        </w:tc>
      </w:tr>
      <w:tr w:rsidR="005E1022" w:rsidRPr="00F3428B" w14:paraId="28C621CE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088AB" w14:textId="3D5A3B05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7BBBF" w14:textId="4996FF37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Basin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A6DFF" w14:textId="4A11F95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AA0C9" w14:textId="2E97B9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70DFE" w14:textId="0DA4F84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0B458" w14:textId="0CD4BF5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38376" w14:textId="58BD2B6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72A80" w14:textId="6C36A3C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86.7%</w:t>
            </w:r>
          </w:p>
        </w:tc>
      </w:tr>
      <w:tr w:rsidR="005E1022" w:rsidRPr="00F3428B" w14:paraId="6AD3DAB2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0BA33E" w14:textId="40C9B700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Johnson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825F55" w14:textId="157E428F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Buffalo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90299A" w14:textId="0735B3D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98DE19" w14:textId="324192A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8D4750" w14:textId="18A2FB9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F5A6ED" w14:textId="3F998B5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1183ED" w14:textId="008291A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CFEECEB" w14:textId="2C19498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1428013A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CB02" w14:textId="27CC2D5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FEBE" w14:textId="5EF3F75C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Burlington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291E4" w14:textId="612635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D3FB" w14:textId="11D01E3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8438F" w14:textId="78241E8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4BD0F" w14:textId="1CB55A7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5C8E3" w14:textId="745BA30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85740" w14:textId="7A8B092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329812F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C3D2C7" w14:textId="50656A5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7A0BC9" w14:textId="5DACCD3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Casper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2302A6" w14:textId="42EC136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72971F9" w14:textId="75B26E8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0624DC" w14:textId="5948004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C11019" w14:textId="3A3F4A6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935272" w14:textId="291559F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5CE9E35" w14:textId="3329DDD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88.0%</w:t>
            </w:r>
          </w:p>
        </w:tc>
      </w:tr>
      <w:tr w:rsidR="005E1022" w:rsidRPr="00F3428B" w14:paraId="3675765B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AB62" w14:textId="49489EE0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Laramie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788AB" w14:textId="0203DB8F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Cheyenne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2FF8F" w14:textId="6830F51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2D8F5" w14:textId="39369D9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9F7D6" w14:textId="7F4777F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59580" w14:textId="73D2836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F51149" w14:textId="6E08725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509CA" w14:textId="5518598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83.6%</w:t>
            </w:r>
          </w:p>
        </w:tc>
      </w:tr>
      <w:tr w:rsidR="005E1022" w:rsidRPr="00F3428B" w14:paraId="7D7095CE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4A5115" w14:textId="690AAACE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156C2B" w14:textId="594780F8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Cody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E389C9" w14:textId="222FD16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29A788" w14:textId="1F82620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0CD924" w14:textId="67F82E3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F2DE32" w14:textId="3711D53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42ECC5" w14:textId="422E562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F821BC8" w14:textId="06AC23F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90.6%</w:t>
            </w:r>
          </w:p>
        </w:tc>
      </w:tr>
      <w:tr w:rsidR="005E1022" w:rsidRPr="00F3428B" w14:paraId="60E4575E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FEAFB" w14:textId="272B9CA9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695CC" w14:textId="4F25CED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Diamondville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D7B31" w14:textId="14EB54C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BD69A" w14:textId="23201EA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9695" w14:textId="2245982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1944B" w14:textId="62EB11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2C3A2" w14:textId="6EF9BD0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7F524" w14:textId="7DD5437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66.7%</w:t>
            </w:r>
          </w:p>
        </w:tc>
      </w:tr>
      <w:tr w:rsidR="005E1022" w:rsidRPr="00F3428B" w14:paraId="5D9B133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F8A391" w14:textId="787C1671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Converse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A7B32B" w14:textId="4B75EA2E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Douglas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9122A8" w14:textId="798A976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EB5D0D" w14:textId="54E0376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5D8347" w14:textId="38B9EED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82268B" w14:textId="500C7D1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0D5D9E" w14:textId="0A27535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ACD35EF" w14:textId="21B4F9B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85.0%</w:t>
            </w:r>
          </w:p>
        </w:tc>
      </w:tr>
      <w:tr w:rsidR="005E1022" w:rsidRPr="00F3428B" w14:paraId="02BDCB4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6639" w14:textId="05A5CDBE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75D7E" w14:textId="44D29C22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Dubois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A7AE0" w14:textId="36DD85E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89D85" w14:textId="6B67ACC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FCF5B" w14:textId="035BA29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2C04F" w14:textId="6D7A188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8600E" w14:textId="000CF04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9CC42" w14:textId="0B6AB4D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92.3%</w:t>
            </w:r>
          </w:p>
        </w:tc>
      </w:tr>
      <w:tr w:rsidR="005E1022" w:rsidRPr="00F3428B" w14:paraId="707E931E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C51B0" w14:textId="5EBCA15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46A030" w14:textId="05864A0B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Edgerton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7C145A" w14:textId="17A7E51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257C09" w14:textId="1F0D3E3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146014" w14:textId="5A1923A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B6AE05" w14:textId="1179E3F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3EA5A0" w14:textId="0C2A23F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A649A42" w14:textId="47B3646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80.0%</w:t>
            </w:r>
          </w:p>
        </w:tc>
      </w:tr>
      <w:tr w:rsidR="005E1022" w:rsidRPr="00F3428B" w14:paraId="5A93954B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85840" w14:textId="0BD34DC2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E6EF0" w14:textId="445AC313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Etna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29EF0" w14:textId="48204FF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84E68" w14:textId="1AA86A3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4B0DE" w14:textId="49FF44E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1FA43" w14:textId="6104117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A8601" w14:textId="741FB6A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3878A" w14:textId="7FAE56F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bidi="ar-SA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50.0%</w:t>
            </w:r>
          </w:p>
        </w:tc>
      </w:tr>
      <w:tr w:rsidR="005E1022" w:rsidRPr="00F3428B" w14:paraId="4D146D17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D3481E" w14:textId="68FA813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Uinta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8299FD" w14:textId="6D3B5E7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Evanston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5A58C0" w14:textId="5E4B342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0B8F6B" w14:textId="061C575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89FB9F" w14:textId="0850888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86F76D" w14:textId="149201D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CEE365" w14:textId="405DD02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9F66885" w14:textId="6A0643D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86.4%</w:t>
            </w:r>
          </w:p>
        </w:tc>
      </w:tr>
      <w:tr w:rsidR="005E1022" w:rsidRPr="00F3428B" w14:paraId="30A6A9B7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DCBB" w14:textId="19A2D185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5AF73" w14:textId="164CA546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Evansville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AD7D" w14:textId="0D65CF1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45EAB" w14:textId="15C5CD5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079D3" w14:textId="606265D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E53DE" w14:textId="39EA5CB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438AD" w14:textId="6EF3063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F1433" w14:textId="7C420E8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75.0%</w:t>
            </w:r>
          </w:p>
        </w:tc>
      </w:tr>
      <w:tr w:rsidR="005E1022" w:rsidRPr="00F3428B" w14:paraId="7944F2E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C9AC5F" w14:textId="156D2CA0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Uinta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E678A6" w14:textId="1855A076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Fort Bridger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AF64B9" w14:textId="0D33FA7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B8070B" w14:textId="1E1D056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2F1F5" w14:textId="5A64BCD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39305A" w14:textId="65ACA8E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00B932" w14:textId="2BD9170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6CD9E76" w14:textId="4255A20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80.0%</w:t>
            </w:r>
          </w:p>
        </w:tc>
      </w:tr>
      <w:tr w:rsidR="005E1022" w:rsidRPr="00F3428B" w14:paraId="4BC19DC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7602E" w14:textId="27F99A6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Campbell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1C404" w14:textId="2DA4F22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Gillette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9983C" w14:textId="6A36377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F3E9" w14:textId="3CF9D3C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721BD" w14:textId="573E381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63650" w14:textId="08FA5FB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E6F0E" w14:textId="08369A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75DAD" w14:textId="31C0521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89.8%</w:t>
            </w:r>
          </w:p>
        </w:tc>
      </w:tr>
      <w:tr w:rsidR="005E1022" w:rsidRPr="00F3428B" w14:paraId="0EEC2712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CE8C4B" w14:textId="2BE9A2DF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Converse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E91181" w14:textId="3D1A1868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Glenrock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517029" w14:textId="3A19274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4896C3" w14:textId="72038A4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CC5D5B" w14:textId="0CDBCEC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262D79" w14:textId="6799A3F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AB4462" w14:textId="0C33AFC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6B641B" w14:textId="35EBC4A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83.3%</w:t>
            </w:r>
          </w:p>
        </w:tc>
      </w:tr>
      <w:tr w:rsidR="005E1022" w:rsidRPr="00F3428B" w14:paraId="2964F4D5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3870D" w14:textId="2D272DFE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Sweetwater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0C953" w14:textId="531C257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Green River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8598E" w14:textId="30E4269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085B7" w14:textId="3BA851B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66AE3" w14:textId="4354509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F6328" w14:textId="14A4B30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B9D18" w14:textId="0D741AC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677F6" w14:textId="3A3365C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92.3%</w:t>
            </w:r>
          </w:p>
        </w:tc>
      </w:tr>
      <w:tr w:rsidR="005E1022" w:rsidRPr="00F3428B" w14:paraId="184C0532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114867" w14:textId="79D5346B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1353A9" w14:textId="0348DAF2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Hiland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7D55BC" w14:textId="60D58E2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4ED0E2" w14:textId="7BBBC48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B041CC" w14:textId="6D6FAF7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D904D4" w14:textId="70AB06B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9B0B10" w14:textId="6C2DE4B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7043AAF" w14:textId="37ABFD8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4B601515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01CCA" w14:textId="1D0422F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D521D" w14:textId="42BD7E2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Hudson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40F7C" w14:textId="5C2ABF3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2BF92" w14:textId="6EF5CB1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C0E5F" w14:textId="667DEB3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0D2F" w14:textId="07B60C3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6802A" w14:textId="6DFFE61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BF05" w14:textId="0D2AABB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75.0%</w:t>
            </w:r>
          </w:p>
        </w:tc>
      </w:tr>
      <w:tr w:rsidR="005E1022" w:rsidRPr="00F3428B" w14:paraId="651ED5C4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15A08B" w14:textId="7A9C64CB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BCCD24" w14:textId="5CD3B169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Hyattville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168CFC" w14:textId="390B521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2B6E25" w14:textId="025933C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2D7009" w14:textId="3324BAC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2FE701" w14:textId="231D46F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BDF41E" w14:textId="353791A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4B0C2D" w14:textId="2FDC529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N/A</w:t>
            </w:r>
          </w:p>
        </w:tc>
      </w:tr>
      <w:tr w:rsidR="005E1022" w:rsidRPr="00F3428B" w14:paraId="5DC6876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B9B9D" w14:textId="4049F81D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Teton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DC6F4" w14:textId="70C04ABF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Jackson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64E4A" w14:textId="325871C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649F2" w14:textId="06117E6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F9351" w14:textId="682A846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3726E" w14:textId="4226B84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99DEE" w14:textId="6278CA4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CA799" w14:textId="4EF5902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77.4%</w:t>
            </w:r>
          </w:p>
        </w:tc>
      </w:tr>
      <w:tr w:rsidR="005E1022" w:rsidRPr="00F3428B" w14:paraId="67AEEE44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4546C6" w14:textId="1C0075E7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B8D0EE" w14:textId="58B7E3C7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Jeffery City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33FA61" w14:textId="3DA86AD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190C64" w14:textId="0117437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FD3829" w14:textId="7484477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606305" w14:textId="11B7215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C3A6C2" w14:textId="3985C12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2E148B4" w14:textId="5B5076E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4B9B611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8E7B" w14:textId="21AA205D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1CE1E" w14:textId="16A845D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Kemmerer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D08AD" w14:textId="38EF0F9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29C08" w14:textId="4635846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8B633" w14:textId="0E25ED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28D74" w14:textId="60036F4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98D8E" w14:textId="7ECFC33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86870" w14:textId="037FF99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75.0%</w:t>
            </w:r>
          </w:p>
        </w:tc>
      </w:tr>
      <w:tr w:rsidR="005E1022" w:rsidRPr="00F3428B" w14:paraId="421FDCC4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E85F03" w14:textId="508AEE9D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91BDA5" w14:textId="7CF0E3C2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Kinnear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254EB0" w14:textId="5F96876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48976B" w14:textId="2CD5055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E5C9C7" w14:textId="033B61D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7A8BF8" w14:textId="1824DFD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58772B" w14:textId="59AB8B6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E090CE" w14:textId="250EDE0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2A5493CB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324E" w14:textId="405E8ACE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Niobrara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7BD3E" w14:textId="05FFC819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Lance Creek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3C45F" w14:textId="4668B1E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149F9" w14:textId="397E7C7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FD104" w14:textId="447A5B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24E16" w14:textId="25037F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A6E59" w14:textId="122FD49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80354" w14:textId="4FFAD3D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0.0%</w:t>
            </w:r>
          </w:p>
        </w:tc>
      </w:tr>
      <w:tr w:rsidR="005E1022" w:rsidRPr="00F3428B" w14:paraId="62720B07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B6AA44" w14:textId="40AC1098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AEAC2C" w14:textId="240562D3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Lander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0FFA0A" w14:textId="649E6B3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F8143F" w14:textId="2C8359E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2D7AB9" w14:textId="461D76C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C9C9C6" w14:textId="73623AB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4E7E1B" w14:textId="1A73151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F48AF18" w14:textId="4BFDA79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84.6%</w:t>
            </w:r>
          </w:p>
        </w:tc>
      </w:tr>
      <w:tr w:rsidR="005E1022" w:rsidRPr="00F3428B" w14:paraId="48B715FC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E72E" w14:textId="7DACF6B1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Albany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AAF2C" w14:textId="6F80CD6C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Laramie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EEE33" w14:textId="5D14271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4CB62" w14:textId="692BD31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B328F" w14:textId="514E660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F8E7C" w14:textId="47AE309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A12AC" w14:textId="008A838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B3257" w14:textId="5CE4526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85.3%</w:t>
            </w:r>
          </w:p>
        </w:tc>
      </w:tr>
      <w:tr w:rsidR="005E1022" w:rsidRPr="00F3428B" w14:paraId="61D59EB4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D35158" w14:textId="3B55A271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E46CEA" w14:textId="5F45ACC7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Lovell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3345F2" w14:textId="3E3AA93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0F0EFC" w14:textId="6B79855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BEAA9E" w14:textId="2FFCE12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A45DC6" w14:textId="13555AF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AE1779" w14:textId="4C8FCDD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C74CAE" w14:textId="43D85A3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26BFA133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4405" w14:textId="0F02456F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Niobrara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C4B7B" w14:textId="652E5F74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Lusk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89B74" w14:textId="5E0ACBA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08EF3" w14:textId="5F3371F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EA00" w14:textId="53A75E8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5E727" w14:textId="56E2466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1A567" w14:textId="41B46DD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318EA" w14:textId="41E7557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90.9%</w:t>
            </w:r>
          </w:p>
        </w:tc>
      </w:tr>
      <w:tr w:rsidR="005E1022" w:rsidRPr="00F3428B" w14:paraId="431FCC98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97F35A" w14:textId="3F10E4D2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5F84AA" w14:textId="0627138D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Manderson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710D60" w14:textId="62C7313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1B0EBD" w14:textId="0EB8DE0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11626C" w14:textId="652AAFD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F98328" w14:textId="31A800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2958AC" w14:textId="1518C61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53B685F" w14:textId="7274B96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16D6B8B1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8B305" w14:textId="2425B1BC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Natrona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88B74" w14:textId="552044E6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Midwest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AA34D" w14:textId="02FA463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7A9BA" w14:textId="5665827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6F5A6" w14:textId="0F4B66E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ABA2B" w14:textId="5AB6871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4EDCC" w14:textId="2768CCB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6D59" w14:textId="7A82D9D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50.0%</w:t>
            </w:r>
          </w:p>
        </w:tc>
      </w:tr>
      <w:tr w:rsidR="005E1022" w:rsidRPr="00F3428B" w14:paraId="4BB7607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780B1C" w14:textId="52000FF5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4EFC7B" w14:textId="6771132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Pavillion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389CDA" w14:textId="08EB873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E62A70" w14:textId="4EAE08F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F70352" w14:textId="0599CA7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474B90" w14:textId="77F9D51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2AA702" w14:textId="46705EE5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955CD71" w14:textId="5FF5502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1FD2C2F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C64BC" w14:textId="77F7ACC1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16047" w14:textId="73AB6B29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Powell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777C8" w14:textId="610FF32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B1463" w14:textId="3BEF1D7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A06EA" w14:textId="5F4A4E5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7F689" w14:textId="40AB95C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989BC" w14:textId="119EB68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5D255" w14:textId="10CD702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75.0%</w:t>
            </w:r>
          </w:p>
        </w:tc>
      </w:tr>
      <w:tr w:rsidR="005E1022" w:rsidRPr="00F3428B" w14:paraId="08D0E486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8E97DB" w14:textId="123AF84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Carbon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649EC0" w14:textId="7B52D942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Rawlins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2AFEB1" w14:textId="34552FF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79CF6C" w14:textId="431EB4E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175DA4" w14:textId="0C0E0FE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703CA3" w14:textId="1283F30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D30DCF" w14:textId="6B0FD1B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C59AD1" w14:textId="58EC9EA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88.9%</w:t>
            </w:r>
          </w:p>
        </w:tc>
      </w:tr>
      <w:tr w:rsidR="005E1022" w:rsidRPr="00F3428B" w14:paraId="605C022A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B9CAE" w14:textId="3465BEA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69B4D" w14:textId="3E4FC1F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Riverton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09584" w14:textId="088FA31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4B9CD" w14:textId="09719B0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8C6F1" w14:textId="665623C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4BA62" w14:textId="11A866C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F093B" w14:textId="047B00E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20F26" w14:textId="7DDEBBB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92.3%</w:t>
            </w:r>
          </w:p>
        </w:tc>
      </w:tr>
      <w:tr w:rsidR="005E1022" w:rsidRPr="00F3428B" w14:paraId="196D2D97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CBEB89" w14:textId="14D01A0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Sweetwater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17BE49" w14:textId="0E82A84E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Rock Springs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EBD65A" w14:textId="64D449D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8B20C0" w14:textId="3F21F91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74285C" w14:textId="155E2A2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3D3D9F" w14:textId="588497A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71BB54" w14:textId="71BAA7F3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22C52B2" w14:textId="20C9FDA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69.9%</w:t>
            </w:r>
          </w:p>
        </w:tc>
      </w:tr>
      <w:tr w:rsidR="005E1022" w:rsidRPr="00F3428B" w14:paraId="497C0633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7AB2CE" w14:textId="457F6930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Big Horn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2A3E1C" w14:textId="43F340C3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Shell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D97A2" w14:textId="0014CA8F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5CEE510" w14:textId="38AB901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366E07" w14:textId="28C3886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27ECDF" w14:textId="70552B9D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B6D0D2" w14:textId="0E770F7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A75EFC3" w14:textId="0898EB3A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50.0%</w:t>
            </w:r>
          </w:p>
        </w:tc>
      </w:tr>
      <w:tr w:rsidR="005E1022" w:rsidRPr="00F3428B" w14:paraId="499770F7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069DC2" w14:textId="66084903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Sheridan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DEDD0A" w14:textId="66E5DF90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Sheridan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D2A000" w14:textId="6D84BCE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50F1E6" w14:textId="184ECF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5CCC7C" w14:textId="2269A19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1D9946" w14:textId="49696B2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8DDF4F" w14:textId="6C40D20B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7BC9B1C" w14:textId="0DC6DB2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88.6%</w:t>
            </w:r>
          </w:p>
        </w:tc>
      </w:tr>
      <w:tr w:rsidR="005E1022" w:rsidRPr="00F3428B" w14:paraId="5C01946F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58DDE" w14:textId="1BBE9199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Fremont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06B33" w14:textId="78E45ED7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Shoshoni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D2611" w14:textId="20D1EAB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A5043" w14:textId="3025506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5FE5F" w14:textId="22898F6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C48CB" w14:textId="124F270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7C1E" w14:textId="019A064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38C13" w14:textId="0CEE87A4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5E1022" w:rsidRPr="00F3428B" w14:paraId="19D2F579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A856DE" w14:textId="6C174A26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Lincoln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1955BF" w14:textId="5484914F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Thayne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FB44B8" w14:textId="35D64F8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8839DB" w14:textId="79B504A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207FCA" w14:textId="30807BB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D3648B" w14:textId="4C162D6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C4DB38" w14:textId="09D8F58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91AF26B" w14:textId="634F1FF7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83.3%</w:t>
            </w:r>
          </w:p>
        </w:tc>
      </w:tr>
      <w:tr w:rsidR="005E1022" w:rsidRPr="00F3428B" w14:paraId="1959C1F8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1FED83" w14:textId="7CC76720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Goshen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E78A2A" w14:textId="08CC3841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Torrington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AC435A" w14:textId="6D8A393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A0A239" w14:textId="6AC20829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7C25F8" w14:textId="30BFFF9C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C97CF4" w14:textId="50BDE108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B58AA" w14:textId="1F6ED63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1511D4" w14:textId="7A1BA096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91.7%</w:t>
            </w:r>
          </w:p>
        </w:tc>
      </w:tr>
      <w:tr w:rsidR="005E1022" w:rsidRPr="00F3428B" w14:paraId="07085BFF" w14:textId="77777777" w:rsidTr="005E1022">
        <w:trPr>
          <w:trHeight w:hRule="exact" w:val="25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730A4E" w14:textId="1D96D262" w:rsidR="005E1022" w:rsidRPr="002B2977" w:rsidRDefault="005E1022" w:rsidP="005E1022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Uinta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5F298E" w14:textId="3E11B8FE" w:rsidR="005E1022" w:rsidRPr="002B2977" w:rsidRDefault="005E1022" w:rsidP="005E1022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B2977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Urie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C9F08C" w14:textId="10ECA0B1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1DFB08" w14:textId="60DD661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344963" w14:textId="28A163C2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F00898" w14:textId="527CCB30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86A0D0" w14:textId="188BD5B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D40D1F" w14:textId="4793A3AE" w:rsidR="005E1022" w:rsidRPr="005E1022" w:rsidRDefault="005E1022" w:rsidP="005E102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5E102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100.0%</w:t>
            </w:r>
          </w:p>
        </w:tc>
      </w:tr>
      <w:tr w:rsidR="002B2977" w:rsidRPr="00DD192D" w14:paraId="1B917246" w14:textId="77777777" w:rsidTr="002B2977">
        <w:trPr>
          <w:trHeight w:val="144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bottom"/>
          </w:tcPr>
          <w:p w14:paraId="09D455C8" w14:textId="77777777" w:rsidR="002B2977" w:rsidRPr="00DD192D" w:rsidRDefault="002B2977" w:rsidP="002B2977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bottom"/>
          </w:tcPr>
          <w:p w14:paraId="31EB8929" w14:textId="66E6D581" w:rsidR="002B2977" w:rsidRPr="000F7007" w:rsidRDefault="002B2977" w:rsidP="002B2977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0F7007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33F9C9E1" w14:textId="54DDC599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1230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10C28A5E" w14:textId="5AF26CCD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1050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1242F285" w14:textId="2144D5BB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169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2D5E9EE6" w14:textId="68C837EE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2202BB71" w14:textId="64168CDC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62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  <w:vAlign w:val="center"/>
          </w:tcPr>
          <w:p w14:paraId="5DDDA861" w14:textId="5026C73C" w:rsidR="002B2977" w:rsidRPr="002B2977" w:rsidRDefault="002B2977" w:rsidP="002B2977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1"/>
                <w:szCs w:val="21"/>
              </w:rPr>
            </w:pPr>
            <w:r w:rsidRPr="002B297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85.4%</w:t>
            </w:r>
          </w:p>
        </w:tc>
      </w:tr>
    </w:tbl>
    <w:p w14:paraId="35D9A386" w14:textId="77777777" w:rsidR="00696B7F" w:rsidRDefault="00696B7F">
      <w:pPr>
        <w:rPr>
          <w:rFonts w:ascii="Garamond" w:hAnsi="Garamond"/>
          <w:szCs w:val="24"/>
          <w:lang w:bidi="ar-SA"/>
        </w:rPr>
        <w:sectPr w:rsidR="00696B7F" w:rsidSect="008130A8"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79631914" w14:textId="4E9DC425" w:rsidR="00BC12F2" w:rsidRDefault="005345B3" w:rsidP="00800E3A">
      <w:pPr>
        <w:pStyle w:val="TableTitle"/>
        <w:ind w:left="-450"/>
      </w:pPr>
      <w:bookmarkStart w:id="27" w:name="_Toc502600919"/>
      <w:r w:rsidRPr="00C0523B">
        <w:lastRenderedPageBreak/>
        <w:t>Table 3.</w:t>
      </w:r>
      <w:r w:rsidR="005E1C61">
        <w:t>3</w:t>
      </w:r>
      <w:r w:rsidRPr="00C0523B">
        <w:t xml:space="preserve">. </w:t>
      </w:r>
      <w:r>
        <w:t xml:space="preserve">Summary of Alcohol </w:t>
      </w:r>
      <w:r w:rsidR="00994DEF">
        <w:t xml:space="preserve">Sales </w:t>
      </w:r>
      <w:r>
        <w:t>Compliance Rates by Municipality (20</w:t>
      </w:r>
      <w:r w:rsidR="005E5C55">
        <w:t>1</w:t>
      </w:r>
      <w:r w:rsidR="001E0B25">
        <w:t>7</w:t>
      </w:r>
      <w:r>
        <w:t>)</w:t>
      </w:r>
      <w:bookmarkEnd w:id="27"/>
    </w:p>
    <w:p w14:paraId="69C60674" w14:textId="77777777" w:rsidR="00D9776A" w:rsidRPr="00696B7F" w:rsidRDefault="00D9776A" w:rsidP="00D9776A">
      <w:pPr>
        <w:rPr>
          <w:rFonts w:ascii="Garamond" w:hAnsi="Garamond"/>
          <w:sz w:val="14"/>
          <w:szCs w:val="24"/>
          <w:lang w:bidi="ar-SA"/>
        </w:rPr>
      </w:pPr>
    </w:p>
    <w:tbl>
      <w:tblPr>
        <w:tblW w:w="10806" w:type="dxa"/>
        <w:tblInd w:w="-720" w:type="dxa"/>
        <w:tblLook w:val="04A0" w:firstRow="1" w:lastRow="0" w:firstColumn="1" w:lastColumn="0" w:noHBand="0" w:noVBand="1"/>
      </w:tblPr>
      <w:tblGrid>
        <w:gridCol w:w="1170"/>
        <w:gridCol w:w="1170"/>
        <w:gridCol w:w="720"/>
        <w:gridCol w:w="1170"/>
        <w:gridCol w:w="1000"/>
        <w:gridCol w:w="1057"/>
        <w:gridCol w:w="764"/>
        <w:gridCol w:w="1247"/>
        <w:gridCol w:w="702"/>
        <w:gridCol w:w="1142"/>
        <w:gridCol w:w="664"/>
      </w:tblGrid>
      <w:tr w:rsidR="001E0B25" w:rsidRPr="0061676C" w14:paraId="41E0F182" w14:textId="77777777" w:rsidTr="009A683C">
        <w:trPr>
          <w:trHeight w:val="240"/>
        </w:trPr>
        <w:tc>
          <w:tcPr>
            <w:tcW w:w="1080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DC9F89" w14:textId="77777777" w:rsidR="001E0B25" w:rsidRPr="0061676C" w:rsidRDefault="001E0B25" w:rsidP="00E4157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1E0B25" w:rsidRPr="0061676C" w14:paraId="14927C05" w14:textId="77777777" w:rsidTr="009A683C">
        <w:trPr>
          <w:trHeight w:val="4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6D9DDE8B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5C6F5DED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99.9% - 90.0%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37732870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89.9% - 80.0%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57E31446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79.9% - 70.0%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3D8D9520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69.9% - 60.0%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7B9EC257" w14:textId="77777777" w:rsidR="001E0B25" w:rsidRPr="0061676C" w:rsidRDefault="001E0B25" w:rsidP="00E41573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59.9% - 0.0%</w:t>
            </w:r>
          </w:p>
        </w:tc>
      </w:tr>
      <w:tr w:rsidR="001E0B25" w:rsidRPr="0061676C" w14:paraId="07620497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52AC7B65" w14:textId="63EAE181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Alcova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6B8A5" w14:textId="5409455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Dubois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B73" w14:textId="26CF2C94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A4F0585" w14:textId="5E88F61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Gillette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493A8BE" w14:textId="4190EBB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89.8%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BD4A60" w14:textId="6070EAF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3E69" w14:textId="6D31EA0C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77.4%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4F60D99" w14:textId="04C4B78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Rock Springs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747D0C" w14:textId="6B5D80F1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69.9%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EE26BA" w14:textId="02DDB2A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Etna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8098" w14:textId="78F3B921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1E0B25" w:rsidRPr="0061676C" w14:paraId="42BF173F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5656BF44" w14:textId="7A1408F4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Atlantic City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46633" w14:textId="02B5FC2B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Green River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8BD8" w14:textId="74EDE601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5D5EA4B9" w14:textId="336DB98E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2E24372" w14:textId="6FB0894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423805" w14:textId="66F1E3E2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Bar Nunn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D5DB" w14:textId="2EECBC0E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3F81BB0" w14:textId="5F389F9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Diamondville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4ADC58" w14:textId="1AAEA17C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F3F8A8" w14:textId="6C56BB1A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Midwest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12F5" w14:textId="08ACF22B" w:rsidR="001E0B25" w:rsidRPr="001E0B25" w:rsidRDefault="001E0B25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1E0B25" w:rsidRPr="0061676C" w14:paraId="6119D356" w14:textId="77777777" w:rsidTr="009A683C">
        <w:trPr>
          <w:trHeight w:hRule="exact"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7EBA859" w14:textId="703FAA19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A63DB7" w14:textId="1A979DC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Riverton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7817" w14:textId="659DB61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AFDBF54" w14:textId="71F35BF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Rawlins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3A1E378" w14:textId="628E430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A01FEC" w14:textId="68C0481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Evansville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9CD1" w14:textId="4AF73BE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DCFFA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05953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1FA523" w14:textId="0EFE9B06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Shell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FD57" w14:textId="56C00F31" w:rsidR="001E0B25" w:rsidRPr="001E0B25" w:rsidRDefault="001E0B25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1E0B25" w:rsidRPr="0061676C" w14:paraId="13B3F64A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6CD7730" w14:textId="61178C8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24A54" w14:textId="458C3F1F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A1C7B" w14:textId="6E5E6DD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91.7%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0B37BB8" w14:textId="6045A26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Sheridan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09DFE03" w14:textId="06AF2BA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88.6%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268D75" w14:textId="6E9B505B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Hudson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AF93" w14:textId="143C625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156DB8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F2B72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D29B10" w14:textId="5828DAEF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Lance Creek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F2C" w14:textId="091BBF34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</w:tr>
      <w:tr w:rsidR="001E0B25" w:rsidRPr="0061676C" w14:paraId="606E0B46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9FC3D69" w14:textId="756D8CF2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Hiland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CDEC0" w14:textId="305E6DB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Lusk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6476" w14:textId="37A8856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A3CCE3E" w14:textId="05A73F13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Casper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9C11663" w14:textId="092A8F0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88.0%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F84A317" w14:textId="19D8447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Kemmerer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7C00" w14:textId="517E626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AEF340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B6C3A1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7BC81D" w14:textId="1D777F63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C519" w14:textId="237D6AD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1E0B25" w:rsidRPr="0061676C" w14:paraId="293948FC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8B3694C" w14:textId="521D9FDA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Jeffery City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B85E4" w14:textId="31A3DD13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4A48" w14:textId="5712B88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90.6%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9AA6673" w14:textId="27B0612E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9292FC1" w14:textId="40BD7521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87.5%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19E11E" w14:textId="072CA1AF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Powell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2C38" w14:textId="32FE9715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531E89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73E78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4D1E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7BB3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E0B25" w:rsidRPr="0061676C" w14:paraId="72617CE1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5B1C5EA" w14:textId="3484783F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Kinnear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257BB" w14:textId="629536AB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83D7" w14:textId="395DE7DF" w:rsidR="001E0B25" w:rsidRPr="001E0B25" w:rsidRDefault="001E0B25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08A9FF5" w14:textId="1F95622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1272D1B" w14:textId="3F434350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86.7%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FA3A01" w14:textId="140B0B7B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0000" w14:textId="582EBCBA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5CA5FE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58B845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1558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87D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E0B25" w:rsidRPr="0061676C" w14:paraId="757C1B22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2100A9CB" w14:textId="4E59D376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Lovell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9382" w14:textId="09F8B51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B5FF" w14:textId="115F241A" w:rsidR="001E0B25" w:rsidRPr="001E0B25" w:rsidRDefault="001E0B25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3D6BD453" w14:textId="6C12ACF2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CBD4213" w14:textId="127A231D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86.4%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9CCF82" w14:textId="3018D276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8AC4" w14:textId="06C43458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C54130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2D348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734F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64CF" w14:textId="77777777" w:rsidR="001E0B25" w:rsidRPr="001E0B25" w:rsidRDefault="001E0B25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A683C" w:rsidRPr="0061676C" w14:paraId="62F1E47F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529E190" w14:textId="42048A2C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Manderson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0EAE" w14:textId="55CDA441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F9FD" w14:textId="2547FD50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055D0B0C" w14:textId="64413E6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Laramie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D7D7E4F" w14:textId="36031A0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85.3%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38A52" w14:textId="3F051D4F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3BAA" w14:textId="434EBF13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03B45D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2B11D4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B4C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0A10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A683C" w:rsidRPr="0061676C" w14:paraId="45A01353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4D7D06C" w14:textId="7A802B4B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Pavillion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BBD8" w14:textId="57E8229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03A5" w14:textId="4D232250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5DA90EE" w14:textId="77B96C2D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CF6D8F3" w14:textId="5941000E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85.0%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ED97A0" w14:textId="0269AC04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EBB8D" w14:textId="42423EA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CDF5C0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59A550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AA61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2D8B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A683C" w:rsidRPr="0061676C" w14:paraId="695043C3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29122B4C" w14:textId="6F5819BA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Shoshoni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3DBC6" w14:textId="000D7C2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1A9D" w14:textId="7F83D84A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880D127" w14:textId="391499F3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Lander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0E49005" w14:textId="7A133B5A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84.6%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75FB44" w14:textId="236F791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2576" w14:textId="2AF8BCCB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9EAFDD4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7187F51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FCF9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F4A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A683C" w:rsidRPr="0061676C" w14:paraId="0BDD855E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7446D6D" w14:textId="24A1E594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Urie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C36B" w14:textId="16F63C8E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AB07" w14:textId="205FD189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464E624" w14:textId="7001A934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Cheyenne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DDDA833" w14:textId="4643A389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83.6%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8AA46A" w14:textId="3B54CFB3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41F6" w14:textId="06851A76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3950D6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ADEECC0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2E69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2F83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9A683C" w:rsidRPr="0061676C" w14:paraId="3F36C690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701C2624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01444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1871" w14:textId="77777777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F24998B" w14:textId="246F6F93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Glenrock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A2348F4" w14:textId="542BF09E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B2A23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EF32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54B63B7D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E14FA9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0D9B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C74E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9A683C" w:rsidRPr="0061676C" w14:paraId="0B064BD6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6C749FDC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5BF0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05A6" w14:textId="77777777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0ACB7B30" w14:textId="7DB4E70E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Thayne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B4197A9" w14:textId="498AA949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640336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C2022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0C9994F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10B4731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6CDF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21D3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9A683C" w:rsidRPr="0061676C" w14:paraId="20277A85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7166C36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3FCE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7F35" w14:textId="77777777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0583BEAB" w14:textId="2E44CF4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Edgerton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A365241" w14:textId="64143692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FE60EF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51B8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120CFB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2CD9CE9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730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D253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9A683C" w:rsidRPr="0061676C" w14:paraId="5DEF4AE9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02BAB6FE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ADA5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C13A" w14:textId="77777777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00FB074" w14:textId="6AC80304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Fort Bridger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4F11893" w14:textId="30983F9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1E0B2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80.0%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488F5A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424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6EB0AFC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32114F0C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4F9B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DBC1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9A683C" w:rsidRPr="0061676C" w14:paraId="5B16D8A3" w14:textId="77777777" w:rsidTr="009A683C">
        <w:trPr>
          <w:trHeight w:val="24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</w:tcPr>
          <w:p w14:paraId="1EED7BF7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974BF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77D6" w14:textId="77777777" w:rsidR="009A683C" w:rsidRPr="001E0B25" w:rsidRDefault="009A683C" w:rsidP="001E0B2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32C22C47" w14:textId="1DAD715A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E2969F8" w14:textId="4C6D71A4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D3488D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33EC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3B3BB163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C10F5D5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3E889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A8DC" w14:textId="77777777" w:rsidR="009A683C" w:rsidRPr="001E0B25" w:rsidRDefault="009A683C" w:rsidP="001E0B2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66AF2B94" w14:textId="77777777" w:rsidR="00BC12F2" w:rsidRDefault="00BC12F2" w:rsidP="00696B7F"/>
    <w:p w14:paraId="6927C3E6" w14:textId="77777777" w:rsidR="005345B3" w:rsidRDefault="005345B3">
      <w:pPr>
        <w:rPr>
          <w:rFonts w:ascii="Garamond" w:hAnsi="Garamond"/>
          <w:bCs/>
          <w:iCs/>
          <w:kern w:val="32"/>
          <w:sz w:val="32"/>
          <w:szCs w:val="28"/>
          <w:lang w:bidi="ar-SA"/>
        </w:rPr>
      </w:pPr>
      <w:r>
        <w:br w:type="page"/>
      </w:r>
    </w:p>
    <w:p w14:paraId="3593476A" w14:textId="77777777" w:rsidR="007D75DC" w:rsidRPr="00B646DF" w:rsidRDefault="007D75DC" w:rsidP="005345B3">
      <w:pPr>
        <w:pStyle w:val="Heading2"/>
      </w:pPr>
      <w:bookmarkStart w:id="28" w:name="_Toc502600916"/>
      <w:r w:rsidRPr="00B646DF">
        <w:lastRenderedPageBreak/>
        <w:t xml:space="preserve">Tobacco </w:t>
      </w:r>
      <w:r w:rsidR="00346026">
        <w:t xml:space="preserve">Sales </w:t>
      </w:r>
      <w:r w:rsidRPr="00B646DF">
        <w:t>Compliance</w:t>
      </w:r>
      <w:r w:rsidR="009E02ED">
        <w:t xml:space="preserve"> Checks</w:t>
      </w:r>
      <w:r w:rsidRPr="00B646DF">
        <w:t xml:space="preserve"> Results</w:t>
      </w:r>
      <w:bookmarkEnd w:id="28"/>
    </w:p>
    <w:p w14:paraId="6E2786D2" w14:textId="203EBCF2" w:rsidR="007D75DC" w:rsidRDefault="00FC56F4" w:rsidP="00F4751E">
      <w:pPr>
        <w:pStyle w:val="BodyText"/>
        <w:spacing w:after="0"/>
        <w:jc w:val="both"/>
      </w:pPr>
      <w:r>
        <w:t xml:space="preserve">In total, </w:t>
      </w:r>
      <w:r w:rsidR="00C575F7">
        <w:t>856</w:t>
      </w:r>
      <w:r w:rsidR="002576AE">
        <w:t xml:space="preserve"> tobacco </w:t>
      </w:r>
      <w:r w:rsidR="00C83B99">
        <w:t xml:space="preserve">sales </w:t>
      </w:r>
      <w:r w:rsidR="002576AE">
        <w:t xml:space="preserve">compliance checks were submitted to WYSAC and entered into a database. </w:t>
      </w:r>
      <w:r w:rsidR="00F71603">
        <w:t xml:space="preserve">After removal of </w:t>
      </w:r>
      <w:r w:rsidR="0035007C">
        <w:t>null attempts</w:t>
      </w:r>
      <w:r w:rsidR="00BD00AB">
        <w:t>,</w:t>
      </w:r>
      <w:r w:rsidR="00226915">
        <w:t xml:space="preserve"> </w:t>
      </w:r>
      <w:r w:rsidR="00C575F7">
        <w:t>827</w:t>
      </w:r>
      <w:r w:rsidR="007D75DC">
        <w:t xml:space="preserve"> checks were </w:t>
      </w:r>
      <w:r w:rsidR="00B25133">
        <w:t xml:space="preserve">included in the calculations and </w:t>
      </w:r>
      <w:r w:rsidR="007D75DC">
        <w:t>analy</w:t>
      </w:r>
      <w:r w:rsidR="00B25133">
        <w:t>sis</w:t>
      </w:r>
      <w:r w:rsidR="007D75DC">
        <w:t xml:space="preserve">. </w:t>
      </w:r>
    </w:p>
    <w:p w14:paraId="7D6C13E8" w14:textId="77777777" w:rsidR="00942A5E" w:rsidRDefault="00942A5E" w:rsidP="00F4751E">
      <w:pPr>
        <w:pStyle w:val="BodyText"/>
        <w:spacing w:after="0"/>
        <w:jc w:val="both"/>
      </w:pPr>
    </w:p>
    <w:p w14:paraId="3644A198" w14:textId="77777777" w:rsidR="00EF035D" w:rsidRDefault="00B42160" w:rsidP="00F4751E">
      <w:pPr>
        <w:pStyle w:val="BodyText"/>
        <w:spacing w:after="0"/>
        <w:jc w:val="both"/>
      </w:pPr>
      <w:r>
        <w:t xml:space="preserve">Inspection forms indicating only </w:t>
      </w:r>
      <w:r w:rsidRPr="000C1286">
        <w:t>a warning</w:t>
      </w:r>
      <w:r>
        <w:t xml:space="preserve"> was issued were considered a violation of compliancy for data analysis purposes, though no citations were issued. Data which represented an unsuccessful attempt because the business was closed </w:t>
      </w:r>
      <w:r w:rsidR="00007424">
        <w:t xml:space="preserve">or no longer sells tobacco </w:t>
      </w:r>
      <w:r>
        <w:t>were considered a null attempt and not included in the total compliance check count</w:t>
      </w:r>
      <w:r w:rsidR="00042B38">
        <w:t>s</w:t>
      </w:r>
      <w:r>
        <w:t xml:space="preserve"> or calculations. </w:t>
      </w:r>
      <w:r w:rsidR="000A0351">
        <w:t>C</w:t>
      </w:r>
      <w:r>
        <w:t>ompliance rates were calculated by dividing the number of non-infractions reported by the number of compliance checks performed.</w:t>
      </w:r>
    </w:p>
    <w:p w14:paraId="01F816DE" w14:textId="77777777" w:rsidR="00C4746C" w:rsidRDefault="00C4746C" w:rsidP="00F4751E">
      <w:pPr>
        <w:pStyle w:val="BodyText"/>
        <w:spacing w:after="0"/>
        <w:jc w:val="both"/>
      </w:pPr>
    </w:p>
    <w:p w14:paraId="2592038A" w14:textId="52ECE937" w:rsidR="00E44319" w:rsidRDefault="00EF035D" w:rsidP="00F4751E">
      <w:pPr>
        <w:pStyle w:val="BodyText"/>
        <w:spacing w:after="0"/>
        <w:jc w:val="both"/>
      </w:pPr>
      <w:r>
        <w:t xml:space="preserve">As shown </w:t>
      </w:r>
      <w:r w:rsidR="00E70641">
        <w:t xml:space="preserve">below </w:t>
      </w:r>
      <w:r>
        <w:t xml:space="preserve">in Figure </w:t>
      </w:r>
      <w:r w:rsidR="00FC56F4">
        <w:t>3.</w:t>
      </w:r>
      <w:r w:rsidR="00F71603">
        <w:t>3</w:t>
      </w:r>
      <w:r>
        <w:t xml:space="preserve">, </w:t>
      </w:r>
      <w:r w:rsidR="00E70641">
        <w:t xml:space="preserve">valid </w:t>
      </w:r>
      <w:r w:rsidR="00226915">
        <w:t xml:space="preserve">tobacco </w:t>
      </w:r>
      <w:r w:rsidR="00C83B99">
        <w:t xml:space="preserve">sales compliance checks </w:t>
      </w:r>
      <w:r w:rsidR="00671E92">
        <w:t>f</w:t>
      </w:r>
      <w:r w:rsidR="007D75DC">
        <w:t xml:space="preserve">orms were returned for </w:t>
      </w:r>
      <w:r w:rsidR="00A85D16">
        <w:t>1</w:t>
      </w:r>
      <w:r w:rsidR="001626D2">
        <w:t>7</w:t>
      </w:r>
      <w:r w:rsidR="00D60DDE">
        <w:t xml:space="preserve"> </w:t>
      </w:r>
      <w:r w:rsidR="006F1078">
        <w:t xml:space="preserve">Wyoming </w:t>
      </w:r>
      <w:r w:rsidR="007D75DC">
        <w:t>counties</w:t>
      </w:r>
      <w:r w:rsidR="00B94B25">
        <w:t xml:space="preserve">, </w:t>
      </w:r>
      <w:r w:rsidR="00C575F7">
        <w:t xml:space="preserve">the same </w:t>
      </w:r>
      <w:r w:rsidR="008B70EC">
        <w:t>number as in</w:t>
      </w:r>
      <w:r w:rsidR="00C575F7">
        <w:t xml:space="preserve"> 2016</w:t>
      </w:r>
      <w:r w:rsidR="00023C31">
        <w:t>.</w:t>
      </w:r>
      <w:r w:rsidR="00A526DB">
        <w:t xml:space="preserve"> </w:t>
      </w:r>
      <w:r w:rsidR="001626D2">
        <w:t xml:space="preserve">However, </w:t>
      </w:r>
      <w:r w:rsidR="00C575F7">
        <w:t>ten</w:t>
      </w:r>
      <w:r w:rsidR="001626D2">
        <w:t xml:space="preserve"> more municipalities submitted in 201</w:t>
      </w:r>
      <w:r w:rsidR="00C575F7">
        <w:t>7</w:t>
      </w:r>
      <w:r w:rsidR="001626D2">
        <w:t xml:space="preserve"> (4</w:t>
      </w:r>
      <w:r w:rsidR="00C575F7">
        <w:t>7</w:t>
      </w:r>
      <w:r w:rsidR="001626D2">
        <w:t>) compared to 201</w:t>
      </w:r>
      <w:r w:rsidR="00C575F7">
        <w:t>6</w:t>
      </w:r>
      <w:r w:rsidR="001626D2">
        <w:t xml:space="preserve"> (</w:t>
      </w:r>
      <w:r w:rsidR="00C575F7">
        <w:t>40</w:t>
      </w:r>
      <w:r w:rsidR="001626D2">
        <w:t>).</w:t>
      </w:r>
      <w:r w:rsidRPr="00D47D71">
        <w:t xml:space="preserve"> </w:t>
      </w:r>
      <w:r w:rsidR="00C575F7">
        <w:t>Historically</w:t>
      </w:r>
      <w:r w:rsidR="00671E92" w:rsidRPr="00D47D71">
        <w:t xml:space="preserve"> there </w:t>
      </w:r>
      <w:r w:rsidR="00D47D71" w:rsidRPr="00D47D71">
        <w:t xml:space="preserve">have been </w:t>
      </w:r>
      <w:r w:rsidR="00671E92" w:rsidRPr="00D47D71">
        <w:t>substantially fewer</w:t>
      </w:r>
      <w:r w:rsidR="00777DA6">
        <w:t xml:space="preserve"> municipalities </w:t>
      </w:r>
      <w:r w:rsidR="00EB1557">
        <w:t>receiving</w:t>
      </w:r>
      <w:r w:rsidR="00777DA6">
        <w:t xml:space="preserve"> </w:t>
      </w:r>
      <w:r w:rsidR="00671E92" w:rsidRPr="00D47D71">
        <w:t xml:space="preserve">tobacco </w:t>
      </w:r>
      <w:r w:rsidR="00C83B99">
        <w:t xml:space="preserve">sales compliance </w:t>
      </w:r>
      <w:r w:rsidR="00777DA6">
        <w:t>checks</w:t>
      </w:r>
      <w:r w:rsidR="004F03BF" w:rsidRPr="00D47D71">
        <w:t xml:space="preserve"> </w:t>
      </w:r>
      <w:r w:rsidR="00671E92" w:rsidRPr="00D47D71">
        <w:t>than alcohol</w:t>
      </w:r>
      <w:r w:rsidR="00C83B99">
        <w:t xml:space="preserve"> sales compliance checks</w:t>
      </w:r>
      <w:r w:rsidR="00671E92" w:rsidRPr="00D47D71">
        <w:t xml:space="preserve">. </w:t>
      </w:r>
      <w:r w:rsidR="000C79FC" w:rsidRPr="00E44319">
        <w:t>The counties that did not return valid</w:t>
      </w:r>
      <w:r w:rsidR="00A526DB">
        <w:t xml:space="preserve"> tobacco</w:t>
      </w:r>
      <w:r w:rsidR="000C79FC" w:rsidRPr="00E44319">
        <w:t xml:space="preserve"> forms were:</w:t>
      </w:r>
      <w:r w:rsidR="000C79FC">
        <w:t xml:space="preserve"> </w:t>
      </w:r>
      <w:r w:rsidR="00E44319">
        <w:t xml:space="preserve">Crook, </w:t>
      </w:r>
      <w:r w:rsidR="00023C31">
        <w:t xml:space="preserve">Hot Springs, </w:t>
      </w:r>
      <w:r w:rsidR="00E44319">
        <w:t>Platte,</w:t>
      </w:r>
      <w:r w:rsidR="00C575F7">
        <w:t xml:space="preserve"> Sublette,</w:t>
      </w:r>
      <w:r w:rsidR="00E44319">
        <w:t xml:space="preserve"> </w:t>
      </w:r>
      <w:r w:rsidR="00926542">
        <w:t xml:space="preserve">Washakie, </w:t>
      </w:r>
      <w:r w:rsidR="00E44319">
        <w:t xml:space="preserve">and Weston. </w:t>
      </w:r>
    </w:p>
    <w:p w14:paraId="6D9E8426" w14:textId="77777777" w:rsidR="00E44319" w:rsidRDefault="00E44319" w:rsidP="00F4751E">
      <w:pPr>
        <w:pStyle w:val="BodyText"/>
        <w:spacing w:after="0"/>
        <w:jc w:val="both"/>
      </w:pPr>
    </w:p>
    <w:p w14:paraId="75408D6D" w14:textId="77777777" w:rsidR="00F71603" w:rsidRDefault="00F71603" w:rsidP="002576AE">
      <w:pPr>
        <w:pStyle w:val="BodyText"/>
        <w:tabs>
          <w:tab w:val="left" w:pos="6543"/>
        </w:tabs>
        <w:spacing w:after="0"/>
      </w:pPr>
    </w:p>
    <w:p w14:paraId="487E96E4" w14:textId="34605EAB" w:rsidR="00671E92" w:rsidRDefault="00F71603" w:rsidP="00F71603">
      <w:pPr>
        <w:pStyle w:val="FigureTitle"/>
      </w:pPr>
      <w:bookmarkStart w:id="29" w:name="_Toc240865722"/>
      <w:bookmarkStart w:id="30" w:name="_Toc502600925"/>
      <w:r>
        <w:t xml:space="preserve">Figure 3.3. </w:t>
      </w:r>
      <w:r w:rsidR="002576AE">
        <w:t xml:space="preserve">Number of Regions Submitting </w:t>
      </w:r>
      <w:r>
        <w:t xml:space="preserve">Tobacco </w:t>
      </w:r>
      <w:r w:rsidR="004874A6">
        <w:t xml:space="preserve">Sales </w:t>
      </w:r>
      <w:r>
        <w:t xml:space="preserve">Compliance Checks </w:t>
      </w:r>
      <w:r w:rsidR="002576AE">
        <w:t>(2007–201</w:t>
      </w:r>
      <w:r w:rsidR="00C575F7">
        <w:t>7</w:t>
      </w:r>
      <w:r>
        <w:t>)</w:t>
      </w:r>
      <w:bookmarkEnd w:id="29"/>
      <w:bookmarkEnd w:id="30"/>
    </w:p>
    <w:p w14:paraId="3B6F9241" w14:textId="724A01EB" w:rsidR="00361246" w:rsidRDefault="00A07F1A">
      <w:r>
        <w:rPr>
          <w:noProof/>
          <w:lang w:bidi="ar-SA"/>
        </w:rPr>
        <w:drawing>
          <wp:inline distT="0" distB="0" distL="0" distR="0" wp14:anchorId="1C389267" wp14:editId="588CFA7D">
            <wp:extent cx="5943600" cy="2239645"/>
            <wp:effectExtent l="0" t="0" r="0" b="825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24A90E5" w14:textId="77777777" w:rsidR="00361246" w:rsidRDefault="00361246"/>
    <w:p w14:paraId="41A56D65" w14:textId="77777777" w:rsidR="00671E92" w:rsidRDefault="00671E92">
      <w:pPr>
        <w:rPr>
          <w:rFonts w:ascii="Garamond" w:hAnsi="Garamond"/>
          <w:szCs w:val="24"/>
          <w:lang w:bidi="ar-SA"/>
        </w:rPr>
      </w:pPr>
      <w:r>
        <w:br w:type="page"/>
      </w:r>
    </w:p>
    <w:p w14:paraId="02628B1F" w14:textId="24F2E2AC" w:rsidR="00170457" w:rsidRDefault="00170457" w:rsidP="00F4751E">
      <w:pPr>
        <w:pStyle w:val="BodyText"/>
        <w:jc w:val="both"/>
      </w:pPr>
      <w:r>
        <w:lastRenderedPageBreak/>
        <w:t>Following are the results from the tobacco compliance checks performed in 201</w:t>
      </w:r>
      <w:r w:rsidR="00A07F1A">
        <w:t>7</w:t>
      </w:r>
      <w:r>
        <w:t xml:space="preserve">. Compliance rates are presented first by county (Table 3.4), then by municipality (Table 3.5). In the county table, the name of each location is followed by a superscripted number which represents its relative ranking, with the highest compliance </w:t>
      </w:r>
      <w:r w:rsidR="00042B38">
        <w:t>rate</w:t>
      </w:r>
      <w:r w:rsidR="00A61FFB">
        <w:t xml:space="preserve"> given a rank of one</w:t>
      </w:r>
      <w:r>
        <w:t xml:space="preserve">. </w:t>
      </w:r>
    </w:p>
    <w:p w14:paraId="197FC60F" w14:textId="22CA7BA9" w:rsidR="00170457" w:rsidRDefault="00170457" w:rsidP="00F4751E">
      <w:pPr>
        <w:pStyle w:val="BodyText"/>
        <w:jc w:val="both"/>
      </w:pPr>
      <w:r w:rsidRPr="00EA2D23">
        <w:t xml:space="preserve">Overall tobacco </w:t>
      </w:r>
      <w:r w:rsidR="002F2AC8">
        <w:t xml:space="preserve">sales </w:t>
      </w:r>
      <w:r w:rsidRPr="00EA2D23">
        <w:t xml:space="preserve">compliance for all reporting counties and cities was </w:t>
      </w:r>
      <w:r w:rsidR="003E4E75">
        <w:t>9</w:t>
      </w:r>
      <w:r w:rsidR="00BB334A">
        <w:t>1.</w:t>
      </w:r>
      <w:r w:rsidR="00A07F1A">
        <w:t>9</w:t>
      </w:r>
      <w:r w:rsidR="00D60DDE" w:rsidRPr="00EA2D23">
        <w:t>%,</w:t>
      </w:r>
      <w:r w:rsidR="00D60DDE">
        <w:t xml:space="preserve"> </w:t>
      </w:r>
      <w:r w:rsidR="00A07F1A">
        <w:t>remaining essentially flat as compared to 91.3% in 2</w:t>
      </w:r>
      <w:r w:rsidR="00715A2B">
        <w:t>01</w:t>
      </w:r>
      <w:r w:rsidR="00A07F1A">
        <w:t>6</w:t>
      </w:r>
      <w:r w:rsidRPr="00CF7256">
        <w:rPr>
          <w:rStyle w:val="FootnoteReference"/>
        </w:rPr>
        <w:footnoteReference w:id="3"/>
      </w:r>
      <w:r w:rsidRPr="009833BD">
        <w:t>.</w:t>
      </w:r>
      <w:r>
        <w:t xml:space="preserve"> It should be noted that different municipalities have submitted checks each year, so this comparison should not be considered representative of the "statewide compliance rate" but rather a comparison of the overall compliance rates for those municipalities that submitted forms.</w:t>
      </w:r>
    </w:p>
    <w:p w14:paraId="55DDDDDB" w14:textId="4CF6D770" w:rsidR="007D75DC" w:rsidRDefault="007D75DC" w:rsidP="00A07F1A">
      <w:pPr>
        <w:pStyle w:val="BodyText"/>
        <w:jc w:val="both"/>
      </w:pPr>
      <w:r w:rsidRPr="00C87E80">
        <w:t>Results by county, presented in Table 3.</w:t>
      </w:r>
      <w:r w:rsidR="005E1C61" w:rsidRPr="00C87E80">
        <w:t>4</w:t>
      </w:r>
      <w:r w:rsidRPr="00C87E80">
        <w:t xml:space="preserve">, indicate that </w:t>
      </w:r>
      <w:r w:rsidR="00A07F1A">
        <w:t>two</w:t>
      </w:r>
      <w:r w:rsidR="00C87E80" w:rsidRPr="00C87E80">
        <w:t xml:space="preserve"> counties</w:t>
      </w:r>
      <w:r w:rsidR="00D60DDE" w:rsidRPr="00C87E80">
        <w:t xml:space="preserve">, </w:t>
      </w:r>
      <w:r w:rsidR="00A07F1A">
        <w:t>Converse and Niobrara</w:t>
      </w:r>
      <w:r w:rsidRPr="00C87E80">
        <w:t xml:space="preserve"> had a perfect</w:t>
      </w:r>
      <w:r w:rsidR="00190445" w:rsidRPr="00C87E80">
        <w:t xml:space="preserve"> tobacco</w:t>
      </w:r>
      <w:r w:rsidRPr="00C87E80">
        <w:t xml:space="preserve"> </w:t>
      </w:r>
      <w:r w:rsidR="00C83B99" w:rsidRPr="00C87E80">
        <w:t xml:space="preserve">sales </w:t>
      </w:r>
      <w:r w:rsidRPr="00C87E80">
        <w:t xml:space="preserve">compliance rate of 100%. </w:t>
      </w:r>
      <w:r w:rsidR="00811CA1" w:rsidRPr="00C87E80">
        <w:t xml:space="preserve">The next </w:t>
      </w:r>
      <w:r w:rsidR="00A07F1A">
        <w:t>eight</w:t>
      </w:r>
      <w:r w:rsidR="00811CA1" w:rsidRPr="00C87E80">
        <w:t xml:space="preserve"> counties with the highest compliance rates </w:t>
      </w:r>
      <w:r w:rsidR="00BB334A">
        <w:t xml:space="preserve">were </w:t>
      </w:r>
      <w:r w:rsidR="00A07F1A">
        <w:t>Teton (97.3%), Johnson (97.0%), Campbell (96.4%), Sheridan (95.2%), Park (94.7%), Uinta (94.0%), Fremont (93.9%), and Natrona (93.9%). Th</w:t>
      </w:r>
      <w:r w:rsidRPr="00C87E80">
        <w:t>e</w:t>
      </w:r>
      <w:r w:rsidR="00A07F1A">
        <w:t xml:space="preserve"> six</w:t>
      </w:r>
      <w:r w:rsidRPr="00C87E80">
        <w:t xml:space="preserve"> </w:t>
      </w:r>
      <w:r w:rsidR="00AC0AFD" w:rsidRPr="00C87E80">
        <w:t xml:space="preserve">counties </w:t>
      </w:r>
      <w:r w:rsidR="00811CA1" w:rsidRPr="00C87E80">
        <w:t xml:space="preserve">that </w:t>
      </w:r>
      <w:r w:rsidR="00AC0AFD" w:rsidRPr="00C87E80">
        <w:t xml:space="preserve">demonstrated compliance rates between </w:t>
      </w:r>
      <w:r w:rsidR="00811CA1" w:rsidRPr="00C87E80">
        <w:t xml:space="preserve">89.9% and 80.0% </w:t>
      </w:r>
      <w:r w:rsidR="002F2AC8">
        <w:t xml:space="preserve">are </w:t>
      </w:r>
      <w:r w:rsidR="00A07F1A">
        <w:t>Laramie (89.8%), Lincoln (89.8%), Sweetwater (89.7%), Albany (87.1%), Carbon (86.7%), and Goshen (85.0%)</w:t>
      </w:r>
      <w:r w:rsidR="00C87E80" w:rsidRPr="00C87E80">
        <w:t>.</w:t>
      </w:r>
      <w:r w:rsidR="00811CA1" w:rsidRPr="00C87E80">
        <w:t xml:space="preserve"> </w:t>
      </w:r>
      <w:r w:rsidR="00A07F1A">
        <w:t>Big Horn</w:t>
      </w:r>
      <w:r w:rsidR="00BB334A">
        <w:t xml:space="preserve"> County had the lowest compliance rate with 7</w:t>
      </w:r>
      <w:r w:rsidR="00A07F1A">
        <w:t>6</w:t>
      </w:r>
      <w:r w:rsidR="00BB334A">
        <w:t>.</w:t>
      </w:r>
      <w:r w:rsidR="00A07F1A">
        <w:t>2</w:t>
      </w:r>
      <w:r w:rsidR="00BB334A">
        <w:t>%.</w:t>
      </w:r>
    </w:p>
    <w:p w14:paraId="3B94F213" w14:textId="5D0D4A72" w:rsidR="006C5492" w:rsidRDefault="00942A5E" w:rsidP="00811CA1">
      <w:pPr>
        <w:pStyle w:val="BodyText"/>
        <w:jc w:val="both"/>
      </w:pPr>
      <w:r w:rsidRPr="00971414">
        <w:t>Table</w:t>
      </w:r>
      <w:r>
        <w:t xml:space="preserve"> 3.</w:t>
      </w:r>
      <w:r w:rsidR="005E1C61">
        <w:t>5</w:t>
      </w:r>
      <w:r>
        <w:t xml:space="preserve"> displays the compliance rate</w:t>
      </w:r>
      <w:r w:rsidR="005F60B0">
        <w:t>s</w:t>
      </w:r>
      <w:r>
        <w:t xml:space="preserve"> and infraction</w:t>
      </w:r>
      <w:r w:rsidR="005E1C61">
        <w:t>s</w:t>
      </w:r>
      <w:r>
        <w:t xml:space="preserve"> </w:t>
      </w:r>
      <w:r w:rsidR="005F60B0">
        <w:t xml:space="preserve">for all </w:t>
      </w:r>
      <w:r w:rsidR="00A07F1A">
        <w:t>47</w:t>
      </w:r>
      <w:r w:rsidR="00C87E80">
        <w:t xml:space="preserve"> </w:t>
      </w:r>
      <w:r>
        <w:t>municipalit</w:t>
      </w:r>
      <w:r w:rsidR="005F60B0">
        <w:t xml:space="preserve">ies that returned tobacco </w:t>
      </w:r>
      <w:r w:rsidR="00C83B99">
        <w:t xml:space="preserve">sales </w:t>
      </w:r>
      <w:r w:rsidR="005F60B0">
        <w:t>compliance checks</w:t>
      </w:r>
      <w:r w:rsidR="00B9374C">
        <w:t>, listed</w:t>
      </w:r>
      <w:r w:rsidR="005F60B0">
        <w:t xml:space="preserve"> in </w:t>
      </w:r>
      <w:r w:rsidR="00B9374C">
        <w:t>alphabetical order</w:t>
      </w:r>
      <w:r w:rsidR="005F60B0">
        <w:t>.</w:t>
      </w:r>
      <w:r w:rsidR="00B9374C">
        <w:t xml:space="preserve"> </w:t>
      </w:r>
      <w:r w:rsidR="00A61FFB">
        <w:t>T</w:t>
      </w:r>
      <w:r w:rsidR="00B9374C">
        <w:t xml:space="preserve">able 3.6 presents the tobacco </w:t>
      </w:r>
      <w:r w:rsidR="00C83B99">
        <w:t xml:space="preserve">sales </w:t>
      </w:r>
      <w:r w:rsidR="00B9374C">
        <w:t xml:space="preserve">compliance rates for all municipalities organized into groups of decreasing compliancy. </w:t>
      </w:r>
      <w:r w:rsidR="00BB334A">
        <w:t>Twenty-</w:t>
      </w:r>
      <w:r w:rsidR="00A07F1A">
        <w:t>three</w:t>
      </w:r>
      <w:r w:rsidR="00A236F4">
        <w:t xml:space="preserve"> municipalities</w:t>
      </w:r>
      <w:r w:rsidR="00AA037A">
        <w:t xml:space="preserve"> had perfect compliance rates</w:t>
      </w:r>
      <w:r w:rsidR="00A63537">
        <w:t>.</w:t>
      </w:r>
      <w:r w:rsidR="00AA037A">
        <w:t xml:space="preserve"> </w:t>
      </w:r>
      <w:r w:rsidR="00A07F1A">
        <w:t>Three</w:t>
      </w:r>
      <w:r w:rsidR="00A63537">
        <w:t xml:space="preserve"> </w:t>
      </w:r>
      <w:r w:rsidR="00AA037A">
        <w:t>municipalit</w:t>
      </w:r>
      <w:r w:rsidR="00BB334A">
        <w:t xml:space="preserve">ies, </w:t>
      </w:r>
      <w:r w:rsidR="00A07F1A">
        <w:t>Basin, Burns, and Greybull,</w:t>
      </w:r>
      <w:r w:rsidR="00BB334A">
        <w:t xml:space="preserve"> had rates of </w:t>
      </w:r>
      <w:r w:rsidR="00A07F1A">
        <w:t>5</w:t>
      </w:r>
      <w:r w:rsidR="00BB334A">
        <w:t>0%</w:t>
      </w:r>
      <w:r w:rsidR="00A07F1A">
        <w:t>, the lowest of all municipalities</w:t>
      </w:r>
      <w:r w:rsidR="00BB334A">
        <w:t>.</w:t>
      </w:r>
      <w:r w:rsidR="00C87E80">
        <w:t xml:space="preserve"> </w:t>
      </w:r>
      <w:r w:rsidR="003A0420">
        <w:t xml:space="preserve">It should be noted that for many of these municipalities </w:t>
      </w:r>
      <w:r w:rsidR="00C83B99">
        <w:t>the</w:t>
      </w:r>
      <w:r w:rsidR="003A0420">
        <w:t xml:space="preserve"> sample sizes </w:t>
      </w:r>
      <w:r w:rsidR="00C83B99">
        <w:t xml:space="preserve">were very small </w:t>
      </w:r>
      <w:r w:rsidR="003A0420">
        <w:t xml:space="preserve">(5 or less) which </w:t>
      </w:r>
      <w:r w:rsidR="00C83B99">
        <w:t>is</w:t>
      </w:r>
      <w:r w:rsidR="00FF21A0">
        <w:t xml:space="preserve"> more likely to</w:t>
      </w:r>
      <w:r w:rsidR="003A0420">
        <w:t xml:space="preserve"> result in extreme rates (100% or 0%).</w:t>
      </w:r>
      <w:r w:rsidR="005F60B0">
        <w:t xml:space="preserve"> </w:t>
      </w:r>
    </w:p>
    <w:p w14:paraId="5C17A2BC" w14:textId="77777777" w:rsidR="007D75DC" w:rsidRDefault="007D75DC">
      <w:pPr>
        <w:rPr>
          <w:rFonts w:ascii="Arial" w:hAnsi="Arial"/>
          <w:sz w:val="22"/>
        </w:rPr>
      </w:pPr>
      <w:r>
        <w:br w:type="page"/>
      </w:r>
    </w:p>
    <w:p w14:paraId="11CAEC5A" w14:textId="77777777" w:rsidR="005C22CF" w:rsidRDefault="005C22CF" w:rsidP="005C22CF">
      <w:pPr>
        <w:pStyle w:val="FigureTitle"/>
        <w:ind w:left="-720"/>
      </w:pPr>
    </w:p>
    <w:p w14:paraId="30D9FB4F" w14:textId="18222AEB" w:rsidR="005C22CF" w:rsidRDefault="005C22CF" w:rsidP="00BF5711">
      <w:pPr>
        <w:pStyle w:val="TableTitle"/>
        <w:ind w:left="-180"/>
      </w:pPr>
      <w:bookmarkStart w:id="31" w:name="_Toc240776887"/>
      <w:bookmarkStart w:id="32" w:name="_Toc502600920"/>
      <w:r w:rsidRPr="00C0523B">
        <w:t>Table 3.</w:t>
      </w:r>
      <w:r w:rsidR="005E1C61">
        <w:t>4</w:t>
      </w:r>
      <w:r w:rsidRPr="00C0523B">
        <w:t xml:space="preserve">. Tobacco </w:t>
      </w:r>
      <w:r w:rsidR="009F7EA8">
        <w:t xml:space="preserve">Sales </w:t>
      </w:r>
      <w:r w:rsidRPr="00C0523B">
        <w:t xml:space="preserve">Compliance Rate and Number of </w:t>
      </w:r>
      <w:r w:rsidR="003A67FE">
        <w:t>Violations</w:t>
      </w:r>
      <w:r w:rsidRPr="00C0523B">
        <w:t xml:space="preserve"> by County</w:t>
      </w:r>
      <w:bookmarkEnd w:id="31"/>
      <w:r>
        <w:t xml:space="preserve"> (20</w:t>
      </w:r>
      <w:r w:rsidR="005123A5">
        <w:t>1</w:t>
      </w:r>
      <w:r w:rsidR="00B16C88">
        <w:t>7</w:t>
      </w:r>
      <w:r>
        <w:t>)</w:t>
      </w:r>
      <w:r w:rsidR="00C83B99">
        <w:rPr>
          <w:rFonts w:cs="Arial"/>
        </w:rPr>
        <w:t>*</w:t>
      </w:r>
      <w:bookmarkEnd w:id="32"/>
    </w:p>
    <w:tbl>
      <w:tblPr>
        <w:tblW w:w="9778" w:type="dxa"/>
        <w:tblInd w:w="-72" w:type="dxa"/>
        <w:tblLook w:val="04A0" w:firstRow="1" w:lastRow="0" w:firstColumn="1" w:lastColumn="0" w:noHBand="0" w:noVBand="1"/>
      </w:tblPr>
      <w:tblGrid>
        <w:gridCol w:w="1618"/>
        <w:gridCol w:w="1360"/>
        <w:gridCol w:w="1360"/>
        <w:gridCol w:w="1360"/>
        <w:gridCol w:w="1360"/>
        <w:gridCol w:w="1360"/>
        <w:gridCol w:w="1360"/>
      </w:tblGrid>
      <w:tr w:rsidR="00DD192D" w:rsidRPr="00DD192D" w14:paraId="395A883C" w14:textId="77777777" w:rsidTr="00DD192D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0556" w14:textId="77777777" w:rsidR="007F7F1D" w:rsidRPr="00DD192D" w:rsidRDefault="007F7F1D" w:rsidP="007F7F1D">
            <w:pPr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D6C816B" w14:textId="77777777" w:rsidR="007F7F1D" w:rsidRPr="00DD192D" w:rsidRDefault="00873CFF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 xml:space="preserve">Valid </w:t>
            </w:r>
            <w:r w:rsidR="007F7F1D"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Tobacco Compliance Checks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26ADC329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No Infractions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324B4D6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Prohibited Sales Violation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623A77BE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Prohibited Sales Warning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810938E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Closed or Does Not Sell Tobacco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2EF99F21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Compliance Rate</w:t>
            </w:r>
          </w:p>
        </w:tc>
      </w:tr>
      <w:tr w:rsidR="00DD192D" w:rsidRPr="00DD192D" w14:paraId="5C49596A" w14:textId="77777777" w:rsidTr="00DD192D">
        <w:trPr>
          <w:trHeight w:val="52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61293811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  <w:t>County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0558CEF4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3B0813E6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3FF02D4E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7C06DF80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EB92D5C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110DDFA4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</w:tr>
      <w:tr w:rsidR="00B16C88" w:rsidRPr="007F7F1D" w14:paraId="7811D66D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8C3EA0" w14:textId="7D468EE9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Albany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4B4523" w14:textId="7E954AA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A80E5B" w14:textId="11E0848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3B8D35" w14:textId="2EDF507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A4DD0E" w14:textId="3D0229E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C141C4" w14:textId="129248A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04FAAF" w14:textId="0BFE9E6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87.1%</w:t>
            </w:r>
          </w:p>
        </w:tc>
      </w:tr>
      <w:tr w:rsidR="00B16C88" w:rsidRPr="007F7F1D" w14:paraId="105054C8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BFF0B" w14:textId="7B56B7CD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Big Horn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4351E" w14:textId="5AAC1B1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69DDC" w14:textId="191CCE3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D238" w14:textId="3A844D1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78B40" w14:textId="47DF77F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61F71" w14:textId="2C7EEBC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C1225E" w14:textId="3312716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76.2%</w:t>
            </w:r>
          </w:p>
        </w:tc>
      </w:tr>
      <w:tr w:rsidR="00B16C88" w:rsidRPr="007F7F1D" w14:paraId="35D9B439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D12DF5" w14:textId="49FF06E5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Campbell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DCFDC7" w14:textId="53E3949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0072D1" w14:textId="229FBE6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418641" w14:textId="645BA1F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C84CA6" w14:textId="73BCC62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13879" w14:textId="12E49E6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A504E54" w14:textId="7963F9F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96.4%</w:t>
            </w:r>
          </w:p>
        </w:tc>
      </w:tr>
      <w:tr w:rsidR="00B16C88" w:rsidRPr="007F7F1D" w14:paraId="29C2FEA3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3C206" w14:textId="5D74E9F7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Carbon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75FC8" w14:textId="6CEBF50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26262" w14:textId="1C552D8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524A3" w14:textId="404DE20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B75A8" w14:textId="37BA8E5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6C00" w14:textId="0E09F0F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4F7CB" w14:textId="4F3C498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86.7%</w:t>
            </w:r>
          </w:p>
        </w:tc>
      </w:tr>
      <w:tr w:rsidR="00B16C88" w:rsidRPr="007F7F1D" w14:paraId="1EE35C05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AF8F87" w14:textId="7854E2E5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Converse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21FF7D" w14:textId="453C2E9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534942" w14:textId="4634B3F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2E4390" w14:textId="5B94894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E2DC4E" w14:textId="0E2C68C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2A72E2" w14:textId="2BD4B74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85F3B6" w14:textId="4075F59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100.0%</w:t>
            </w:r>
          </w:p>
        </w:tc>
      </w:tr>
      <w:tr w:rsidR="00B16C88" w:rsidRPr="007F7F1D" w14:paraId="4B1F2E2C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4DE98F" w14:textId="18CD1C1B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Fremont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05E034" w14:textId="3AE7370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76E8C9" w14:textId="0102FE2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FCD1BD8" w14:textId="15F5971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B2097B" w14:textId="0F26E26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228F9E" w14:textId="6A45318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EC9BBA" w14:textId="77D2FC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93.9%</w:t>
            </w:r>
          </w:p>
        </w:tc>
      </w:tr>
      <w:tr w:rsidR="00B16C88" w:rsidRPr="007F7F1D" w14:paraId="411CBD7D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3B34B7" w14:textId="01E9201E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Goshen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620515" w14:textId="7996086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69BDBC" w14:textId="35FC005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A0BD9A" w14:textId="5A72893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966A6E" w14:textId="017CF56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7DBB40" w14:textId="5E1998A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E85766B" w14:textId="7549F97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85.0%</w:t>
            </w:r>
          </w:p>
        </w:tc>
      </w:tr>
      <w:tr w:rsidR="00B16C88" w:rsidRPr="007F7F1D" w14:paraId="1C05C4F3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69E3D5B" w14:textId="6CAB60FF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Johnson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A47078" w14:textId="0E962F4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7BB66F" w14:textId="74529E0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12B07E" w14:textId="2E66C71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09A864" w14:textId="4E0365B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8DDD44" w14:textId="2D60682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6E6AD7" w14:textId="1E7DDC3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97.0%</w:t>
            </w:r>
          </w:p>
        </w:tc>
      </w:tr>
      <w:tr w:rsidR="00B16C88" w:rsidRPr="007F7F1D" w14:paraId="07E5BC54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616815" w14:textId="20500D46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Laramie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E2C43F" w14:textId="10FB264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8F7DD3" w14:textId="71562D9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DAF8CB" w14:textId="52B9B1E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876839" w14:textId="1151730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B642CC" w14:textId="029FEE6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2D821F" w14:textId="4BD9CCA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89.8%</w:t>
            </w:r>
          </w:p>
        </w:tc>
      </w:tr>
      <w:tr w:rsidR="00B16C88" w:rsidRPr="007F7F1D" w14:paraId="5156B715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376868F" w14:textId="422DE5EF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Lincoln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14DD96" w14:textId="6AADBD7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85A1D4" w14:textId="06FA431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9E0FCB" w14:textId="09E954D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D0A70D" w14:textId="5C317CF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A5826E" w14:textId="2CA8CB0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896E3C" w14:textId="1A7A50F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89.8%</w:t>
            </w:r>
          </w:p>
        </w:tc>
      </w:tr>
      <w:tr w:rsidR="00B16C88" w:rsidRPr="007F7F1D" w14:paraId="5D7658F4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BA7ED1" w14:textId="057AB218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Natrona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9FD7C4" w14:textId="0B0AB93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254ABF" w14:textId="32C988B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B18BB4" w14:textId="2FD7998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495E37" w14:textId="41C61C0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B05E7D" w14:textId="3950516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25BAA6" w14:textId="5F8630E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93.9%</w:t>
            </w:r>
          </w:p>
        </w:tc>
      </w:tr>
      <w:tr w:rsidR="00B16C88" w:rsidRPr="007F7F1D" w14:paraId="430CD76B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03F8300" w14:textId="42268D10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Niobrara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91623A" w14:textId="4E95174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77232FF" w14:textId="35E1D63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1B3802" w14:textId="2E8CFF7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6405043" w14:textId="616CA72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C53E246" w14:textId="39061A3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91C704C" w14:textId="1B4AF87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100.0%</w:t>
            </w:r>
          </w:p>
        </w:tc>
      </w:tr>
      <w:tr w:rsidR="00B16C88" w:rsidRPr="007F7F1D" w14:paraId="00D03931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10C78" w14:textId="31FB419A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Park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84750" w14:textId="069DEA3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49B3C" w14:textId="0556F4A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94181A" w14:textId="5A883BD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6D65F9" w14:textId="7019070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EDFB10" w14:textId="431E389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C58D72" w14:textId="03EE373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94.7%</w:t>
            </w:r>
          </w:p>
        </w:tc>
      </w:tr>
      <w:tr w:rsidR="00B16C88" w:rsidRPr="007F7F1D" w14:paraId="37A4C84C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2EBA0F" w14:textId="075E41A2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Sheridan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EA4A033" w14:textId="531AFDC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A2A629" w14:textId="1F52F8C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6CD405F" w14:textId="1250B7D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2B4F4F" w14:textId="2DE9E21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78E5886" w14:textId="0FD5A4A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AE6E9D0" w14:textId="2540915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95.2%</w:t>
            </w:r>
          </w:p>
        </w:tc>
      </w:tr>
      <w:tr w:rsidR="00B16C88" w:rsidRPr="007F7F1D" w14:paraId="22195A62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A4EFA3" w14:textId="44E8F83F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Sweetwater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8A2CDD" w14:textId="63F5631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E7DC4C" w14:textId="650E360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FB2A6C" w14:textId="01B66A4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9750C5" w14:textId="33761AB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025FBE" w14:textId="50A913F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1FF57B" w14:textId="1D1E7A6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89.7%</w:t>
            </w:r>
          </w:p>
        </w:tc>
      </w:tr>
      <w:tr w:rsidR="00B16C88" w:rsidRPr="007F7F1D" w14:paraId="577D7419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AD2E41" w14:textId="6516DB92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Teton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BD4467C" w14:textId="4454E3E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9A0D8D8" w14:textId="5866518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AAB891E" w14:textId="2E399CF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1B83C03" w14:textId="3C97EE9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3E2F929" w14:textId="5FA1239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7D6AF8" w14:textId="77CCAD2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97.3%</w:t>
            </w:r>
          </w:p>
        </w:tc>
      </w:tr>
      <w:tr w:rsidR="00B16C88" w:rsidRPr="007F7F1D" w14:paraId="2E0EA24D" w14:textId="77777777" w:rsidTr="00851DAB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DBD248" w14:textId="78348080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Uinta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1EB68C" w14:textId="6103310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4E0104" w14:textId="151FE69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89AD01" w14:textId="7B675F2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BEBBD4" w14:textId="4A57648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38A444" w14:textId="4C51EA7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E026CA4" w14:textId="62637DB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94.0%</w:t>
            </w:r>
          </w:p>
        </w:tc>
      </w:tr>
      <w:tr w:rsidR="00B16C88" w:rsidRPr="00DD192D" w14:paraId="52A00BE8" w14:textId="77777777" w:rsidTr="00851DAB">
        <w:trPr>
          <w:trHeight w:val="435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center"/>
            <w:hideMark/>
          </w:tcPr>
          <w:p w14:paraId="0EC8F10A" w14:textId="5F022782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4DD3C08F" w14:textId="0DFB7A6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827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4F8F0311" w14:textId="5F67DB7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760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3C758A34" w14:textId="22AA9D1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0443BD5E" w14:textId="466102B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35C475C6" w14:textId="690CCF3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  <w:vAlign w:val="center"/>
          </w:tcPr>
          <w:p w14:paraId="4CE6F05D" w14:textId="17BF11B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91.9%</w:t>
            </w:r>
          </w:p>
        </w:tc>
      </w:tr>
    </w:tbl>
    <w:p w14:paraId="60F5A13D" w14:textId="77777777" w:rsidR="00FD13B5" w:rsidRDefault="00FD13B5" w:rsidP="001E647F">
      <w:pPr>
        <w:rPr>
          <w:sz w:val="20"/>
        </w:rPr>
      </w:pPr>
    </w:p>
    <w:p w14:paraId="4A3798D2" w14:textId="77777777" w:rsidR="00FD13B5" w:rsidRPr="00F3428B" w:rsidRDefault="00FD13B5" w:rsidP="001E647F">
      <w:pPr>
        <w:rPr>
          <w:i/>
          <w:sz w:val="20"/>
        </w:rPr>
      </w:pPr>
      <w:r w:rsidRPr="00F3428B">
        <w:rPr>
          <w:i/>
          <w:sz w:val="20"/>
        </w:rPr>
        <w:t>* The name of each location is followed by a superscripted number which represents its relative ranking, with the highest compliance rate given a rank of one.</w:t>
      </w:r>
    </w:p>
    <w:p w14:paraId="51EE8D33" w14:textId="77777777" w:rsidR="00FD13B5" w:rsidRPr="00FD13B5" w:rsidRDefault="00FD13B5" w:rsidP="00FD13B5">
      <w:pPr>
        <w:ind w:left="-180"/>
        <w:rPr>
          <w:rFonts w:ascii="Garamond" w:hAnsi="Garamond"/>
          <w:bCs/>
          <w:iCs/>
          <w:kern w:val="32"/>
          <w:szCs w:val="28"/>
          <w:lang w:bidi="ar-SA"/>
        </w:rPr>
      </w:pPr>
    </w:p>
    <w:p w14:paraId="47ABC05C" w14:textId="77777777" w:rsidR="00FF21A0" w:rsidRDefault="00FF21A0" w:rsidP="005C22CF"/>
    <w:p w14:paraId="22FF534E" w14:textId="77777777" w:rsidR="00CC1A73" w:rsidRDefault="00CC1A73" w:rsidP="005C22CF">
      <w:pPr>
        <w:sectPr w:rsidR="00CC1A73" w:rsidSect="00EA0F4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2B8E8F" w14:textId="77777777" w:rsidR="008130A8" w:rsidRDefault="008130A8" w:rsidP="008130A8">
      <w:pPr>
        <w:pStyle w:val="BodyText"/>
        <w:spacing w:after="0"/>
        <w:rPr>
          <w:sz w:val="12"/>
        </w:rPr>
      </w:pPr>
      <w:bookmarkStart w:id="33" w:name="_Toc240776886"/>
    </w:p>
    <w:p w14:paraId="4070C8B8" w14:textId="46931CF3" w:rsidR="007D75DC" w:rsidRDefault="007D75DC" w:rsidP="00483AB9">
      <w:pPr>
        <w:pStyle w:val="TableTitle"/>
        <w:ind w:left="-630"/>
      </w:pPr>
      <w:bookmarkStart w:id="34" w:name="_Toc502600921"/>
      <w:r w:rsidRPr="00C0523B">
        <w:t>Table 3.</w:t>
      </w:r>
      <w:r w:rsidR="005E1C61">
        <w:t>5</w:t>
      </w:r>
      <w:r w:rsidRPr="00C0523B">
        <w:t xml:space="preserve">. Tobacco </w:t>
      </w:r>
      <w:r w:rsidR="009F7EA8">
        <w:t xml:space="preserve">Sales </w:t>
      </w:r>
      <w:r w:rsidRPr="00C0523B">
        <w:t xml:space="preserve">Compliance Rate and Number of </w:t>
      </w:r>
      <w:r w:rsidR="003A67FE">
        <w:t>Violations</w:t>
      </w:r>
      <w:r w:rsidRPr="00C0523B">
        <w:t xml:space="preserve"> by </w:t>
      </w:r>
      <w:bookmarkEnd w:id="33"/>
      <w:r w:rsidR="005F6A28">
        <w:t xml:space="preserve">Municipality </w:t>
      </w:r>
      <w:r w:rsidR="00F71603">
        <w:t>(20</w:t>
      </w:r>
      <w:r w:rsidR="00B16C88">
        <w:t>17</w:t>
      </w:r>
      <w:r w:rsidR="00F71603">
        <w:t>)</w:t>
      </w:r>
      <w:bookmarkEnd w:id="34"/>
    </w:p>
    <w:tbl>
      <w:tblPr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290"/>
        <w:gridCol w:w="1290"/>
        <w:gridCol w:w="1290"/>
        <w:gridCol w:w="1290"/>
        <w:gridCol w:w="1290"/>
        <w:gridCol w:w="1290"/>
      </w:tblGrid>
      <w:tr w:rsidR="00DD192D" w:rsidRPr="00DD192D" w14:paraId="43FBAB05" w14:textId="77777777" w:rsidTr="00DD192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8" w:space="0" w:color="auto"/>
            </w:tcBorders>
          </w:tcPr>
          <w:p w14:paraId="41D11BE0" w14:textId="77777777" w:rsidR="00182577" w:rsidRPr="00DD192D" w:rsidRDefault="00182577" w:rsidP="0049124B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53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742D6" w14:textId="77777777" w:rsidR="00182577" w:rsidRPr="00DD192D" w:rsidRDefault="00182577" w:rsidP="0049124B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0"/>
                <w:lang w:bidi="ar-SA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133BB2C8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Valid Tobacco Compliance Checks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4466E7B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No Infractions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4D095DFE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Prohibited Sales Violation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B67B61B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Prohibited Sales Warning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4C22C08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Closed or Does Not Sell Tobacco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3820236C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Compliance Rate</w:t>
            </w:r>
          </w:p>
        </w:tc>
      </w:tr>
      <w:tr w:rsidR="00DD192D" w:rsidRPr="00DD192D" w14:paraId="1871F34E" w14:textId="77777777" w:rsidTr="00DD192D">
        <w:trPr>
          <w:trHeight w:val="331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center"/>
          </w:tcPr>
          <w:p w14:paraId="28DCAEEB" w14:textId="77777777" w:rsidR="00182577" w:rsidRPr="00DD192D" w:rsidRDefault="00182577" w:rsidP="00483AB9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County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352F2784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Municipality</w:t>
            </w: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6D0BCAFE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78775C85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16254A0A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F960E84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AB7B03A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63F0657A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</w:tr>
      <w:tr w:rsidR="00B16C88" w:rsidRPr="00182577" w14:paraId="7D646044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26F94A" w14:textId="5B8F20F7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  <w:lang w:bidi="ar-SA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365863" w14:textId="1CF08046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Afton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E992E6" w14:textId="5175AE0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B55F98" w14:textId="2AA34AD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20FC1F" w14:textId="557C032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750A0E" w14:textId="1193086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0F77EE" w14:textId="50B71C1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178ABD2" w14:textId="1BBD2D5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83.3%</w:t>
            </w:r>
          </w:p>
        </w:tc>
      </w:tr>
      <w:tr w:rsidR="00B16C88" w:rsidRPr="00182577" w14:paraId="60611FB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E0DC3" w14:textId="43814908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2AB76" w14:textId="51DB9D5C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Albin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89B7F" w14:textId="7130AA0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21181" w14:textId="72F71BE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66ECF" w14:textId="0CF5DBC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5D915" w14:textId="4EFC8AE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5EB52" w14:textId="4969893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189D2" w14:textId="70C135B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63302E42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0BAFF1" w14:textId="3F37165C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6963F4" w14:textId="3F618F94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Alcova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2C5259" w14:textId="1CCDF78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5FD77A" w14:textId="249E034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0DA578A" w14:textId="5CF0CA0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5CF21F" w14:textId="1C84605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C15073" w14:textId="1D6FC61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63826AA" w14:textId="6410135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11FE90BB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A6B8666" w14:textId="57C2AB0C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0FCA87" w14:textId="6228DF46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Alpine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D95DDB" w14:textId="550A5A3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F278F8" w14:textId="0932FAD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41796D7" w14:textId="03CEF42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8027A4B" w14:textId="357996B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1A4DF6" w14:textId="1498ECA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2DB17B" w14:textId="49BBEFF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91.7%</w:t>
            </w:r>
          </w:p>
        </w:tc>
      </w:tr>
      <w:tr w:rsidR="00B16C88" w:rsidRPr="00182577" w14:paraId="68283C7C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030FA0" w14:textId="49F228D4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7B6816" w14:textId="6A153324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Basin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54CA51" w14:textId="4A57DC0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E2535B" w14:textId="27A093E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A479EF" w14:textId="5656772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E6C8A5" w14:textId="4E251D0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AC67D6" w14:textId="00D69E6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4186D5B" w14:textId="4487DCF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50.0%</w:t>
            </w:r>
          </w:p>
        </w:tc>
      </w:tr>
      <w:tr w:rsidR="00B16C88" w:rsidRPr="00182577" w14:paraId="3DF9BA6A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AA547C5" w14:textId="2B34B9C3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Johnson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1BF51E4" w14:textId="20C73E77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Buffalo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B5854D" w14:textId="16B41FC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C79CE8" w14:textId="173469F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5DB6A7E" w14:textId="50D1090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D912111" w14:textId="7E555B5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3AE52FC" w14:textId="2B9EF39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B23DCD" w14:textId="0BF4155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97.0%</w:t>
            </w:r>
          </w:p>
        </w:tc>
      </w:tr>
      <w:tr w:rsidR="00B16C88" w:rsidRPr="00182577" w14:paraId="69071541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713F4A" w14:textId="2DE28B02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95B801" w14:textId="66FBA99C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Burlington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C0A1BB" w14:textId="5FA6B65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095294" w14:textId="19AEEED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1FB30" w14:textId="670CAA6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FE515A" w14:textId="6BF13F0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83DFA1" w14:textId="210AD53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272019" w14:textId="37A18BB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2E50D9D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744F7" w14:textId="4B7AFB26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9637" w14:textId="4801B5B3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Burns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897B1" w14:textId="04A4662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047BB" w14:textId="31EF9CA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C9005" w14:textId="50591B7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E0DC6" w14:textId="057E8C0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255E" w14:textId="62CFABE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D6915" w14:textId="5403C82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50.0%</w:t>
            </w:r>
          </w:p>
        </w:tc>
      </w:tr>
      <w:tr w:rsidR="00B16C88" w:rsidRPr="00182577" w14:paraId="4FF1C645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4828B5" w14:textId="3022D304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4E9E71" w14:textId="43061F8A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Byron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212419" w14:textId="5CF4B7D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72C520" w14:textId="333E851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0121A3" w14:textId="0085454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7428DB" w14:textId="13BED6C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502DB5" w14:textId="1B41ABE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5F62B8F" w14:textId="416C1FE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10722681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01D30" w14:textId="6C0FFF52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C5EED" w14:textId="3CC2E99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Casper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2958B" w14:textId="1C8943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FE178" w14:textId="58FF48F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988B1" w14:textId="549F073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DCECF" w14:textId="73E4C0D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3B33D" w14:textId="29C7D01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01569" w14:textId="71874BF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95.0%</w:t>
            </w:r>
          </w:p>
        </w:tc>
      </w:tr>
      <w:tr w:rsidR="00B16C88" w:rsidRPr="00182577" w14:paraId="6B791521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3BCFAD" w14:textId="6E7AFAE1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9AC4CA" w14:textId="7EF77F26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Cheyenne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7C41EA" w14:textId="77D5C6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98141" w14:textId="5F3D17C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E06CE3" w14:textId="45C661F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BE04E0" w14:textId="66A8584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CDD8FF" w14:textId="634F940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0A7D63" w14:textId="7EEFA50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90.3%</w:t>
            </w:r>
          </w:p>
        </w:tc>
      </w:tr>
      <w:tr w:rsidR="00B16C88" w:rsidRPr="00182577" w14:paraId="7AD57923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C8ED9" w14:textId="4A9A72AE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Park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0D80D" w14:textId="222E4A2A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Cody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D2D90" w14:textId="64DFF5A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9A1B1" w14:textId="7EDF59E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CB582" w14:textId="598833F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BFB2B" w14:textId="593EE7D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F6A46" w14:textId="5D51242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CEE79" w14:textId="0CE3FDF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95.8%</w:t>
            </w:r>
          </w:p>
        </w:tc>
      </w:tr>
      <w:tr w:rsidR="00B16C88" w:rsidRPr="00182577" w14:paraId="579CD1B0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95241B" w14:textId="219225B3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970B54" w14:textId="7EBD165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Cokeville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9A8875" w14:textId="37102C4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71BC8F" w14:textId="027E894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5B7B70" w14:textId="4B64AC6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9B4816" w14:textId="7036B5D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294A03" w14:textId="7DEA384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B091CA5" w14:textId="1D7E6A9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E0C6A8D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52E92" w14:textId="15CBF88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86484" w14:textId="4D091194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Cowley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4EEBF" w14:textId="6FF434C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80A94" w14:textId="0698AFB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A8689" w14:textId="2A9A1D5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82D82" w14:textId="7564FB0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691BE" w14:textId="3DFF4CF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204BD" w14:textId="0639026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38B1FC46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607D4A" w14:textId="541D7B9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B3571A" w14:textId="0A1A16DC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Crowheart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214468" w14:textId="25EBBDB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4A19F4" w14:textId="5FD97CA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D28D1E" w14:textId="3590F45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7C8BD2" w14:textId="14FA218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0CBB8D" w14:textId="5AE5A1F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C83D5E9" w14:textId="3683841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6E76F4BF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7DEDA" w14:textId="6E6EDD1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D075E" w14:textId="2E239AE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Diamondville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08780" w14:textId="26FBA0D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B17FC" w14:textId="1E56F03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3FA43" w14:textId="08493A3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49C67" w14:textId="7C4BA64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100DF" w14:textId="7D36B82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B429B" w14:textId="3743793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3A0F1EE1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982551" w14:textId="328E5D72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Converse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DC7DDA" w14:textId="1AA39AC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Douglas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D4DD7A" w14:textId="1176BA1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415D86" w14:textId="12CEA5E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ADAD1A" w14:textId="1CBE7D2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D6ACF7" w14:textId="52D542C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B65693" w14:textId="5A6E8EF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18240CE3" w14:textId="5E6ED9E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6628D71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8357" w14:textId="5DA9E2F5" w:rsidR="00B16C88" w:rsidRPr="00B16C88" w:rsidRDefault="00B16C88" w:rsidP="00B16C88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B8623" w14:textId="5974B6C1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Dubois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5A4FC" w14:textId="6D93FD9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74131" w14:textId="6173ED1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CF95A" w14:textId="375B220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6B19C" w14:textId="3E3674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88531" w14:textId="4A284D1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A6245" w14:textId="07228FE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90.0%</w:t>
            </w:r>
          </w:p>
        </w:tc>
      </w:tr>
      <w:tr w:rsidR="00B16C88" w:rsidRPr="00182577" w14:paraId="2B713952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182DF" w14:textId="53F73FE6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969135" w14:textId="4F5B301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Etna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4D832E" w14:textId="7851FFB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AE6F40" w14:textId="7CCCAD6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EEC789" w14:textId="53254E0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69B213" w14:textId="592EC43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E184E7" w14:textId="72299C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EB47174" w14:textId="416DD73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2512DC17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0D1E3" w14:textId="2DE5745A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Uinta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0B5CC" w14:textId="56AD7CB5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Evanston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B461F" w14:textId="589607B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E0C7E" w14:textId="0EB1E64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239EF" w14:textId="59DBBE2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53879" w14:textId="5E1ADD3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47211" w14:textId="47A6962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8E200" w14:textId="5CDA141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93.5%</w:t>
            </w:r>
          </w:p>
        </w:tc>
      </w:tr>
      <w:tr w:rsidR="00B16C88" w:rsidRPr="00182577" w14:paraId="4F5A203B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9219C6" w14:textId="3542186A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2F39C59" w14:textId="43AF74B9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Evansville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C1A685" w14:textId="3D1DAB5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1E3241" w14:textId="3643AD3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7AD4B5" w14:textId="5D589A5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3F0F93" w14:textId="2B264F3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4562DA" w14:textId="77B955E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4EE26FA" w14:textId="1C2275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66.7%</w:t>
            </w:r>
          </w:p>
        </w:tc>
      </w:tr>
      <w:tr w:rsidR="00B16C88" w:rsidRPr="00182577" w14:paraId="515E6B2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F93685A" w14:textId="710A9078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Uinta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5171444" w14:textId="3D554521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Fort Bridger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1717129" w14:textId="0B49CE7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80F006C" w14:textId="29819B8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28FF080" w14:textId="6C38085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0A19FE" w14:textId="3CA404C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9407A8" w14:textId="7B595CE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EF67E76" w14:textId="2E4EE73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2F7EA1F2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42965C" w14:textId="2409BB72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Campbell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8F084F" w14:textId="2468C54E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Gillette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EA414" w14:textId="6266005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2963E4" w14:textId="7E284D5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E9E663" w14:textId="6B2B075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384586" w14:textId="6CC5C2F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D00330" w14:textId="79D54B4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D173CA6" w14:textId="06B5E30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96.4%</w:t>
            </w:r>
          </w:p>
        </w:tc>
      </w:tr>
      <w:tr w:rsidR="00B16C88" w:rsidRPr="00182577" w14:paraId="4325ECB7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8177B49" w14:textId="0AD22263" w:rsidR="00B16C88" w:rsidRPr="00B16C88" w:rsidRDefault="00B16C88" w:rsidP="00B16C88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Sweetwater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7E1661B" w14:textId="3A7DE9F6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Green River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16D155" w14:textId="0B854C7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F697435" w14:textId="13D38A1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B9BF649" w14:textId="3565367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4430FA" w14:textId="06E6A60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817B43A" w14:textId="597D3D7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069BA8A" w14:textId="34AC5BB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06016C1D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F7053E" w14:textId="534778FC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90F06B" w14:textId="77F93EE6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Greybull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640AFE" w14:textId="2FEEF83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068F1C" w14:textId="7DB516C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AD010A" w14:textId="2738482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0D8445" w14:textId="3534FB4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982847" w14:textId="4C9896F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24E0423" w14:textId="14E4D9E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50.0%</w:t>
            </w:r>
          </w:p>
        </w:tc>
      </w:tr>
      <w:tr w:rsidR="00B16C88" w:rsidRPr="00182577" w14:paraId="0B80CE30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4D41" w14:textId="2A8827AB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9BAB4" w14:textId="4466A02A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Hiland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C5EF0" w14:textId="301B4B5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2E4F8" w14:textId="2225370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6D863" w14:textId="08BC976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7FCB9" w14:textId="460A1D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705DE" w14:textId="0D2A9AB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90C7B" w14:textId="367EFA6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739D383B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72B285" w14:textId="40586482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Teton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37832A" w14:textId="1A14A014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Jackson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AFBCDA" w14:textId="244DD25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EC9B77" w14:textId="588C355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14D469" w14:textId="15E7389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25921E" w14:textId="6273384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6357CC" w14:textId="794398F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62C1136" w14:textId="3150485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97.3%</w:t>
            </w:r>
          </w:p>
        </w:tc>
      </w:tr>
      <w:tr w:rsidR="00B16C88" w:rsidRPr="00182577" w14:paraId="369D3C82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13AF" w14:textId="6FF53C1A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972246" w14:textId="2E0F9840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Kemmerer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AC174" w14:textId="27508AD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59CF" w14:textId="57EA5D4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E056E" w14:textId="55092F1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345C0" w14:textId="5C60EF2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78E46" w14:textId="0DC2BA6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9DDC1" w14:textId="0275CD1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80.0%</w:t>
            </w:r>
          </w:p>
        </w:tc>
      </w:tr>
      <w:tr w:rsidR="00B16C88" w:rsidRPr="00182577" w14:paraId="53F44B92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2729C2" w14:textId="7C49FD16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79CBD8" w14:textId="3D7F405D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Kinnear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8E0B8A" w14:textId="55D4F4A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5D8087" w14:textId="65BA350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189B40" w14:textId="33906A1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08C8C8" w14:textId="4643B2F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0B7507" w14:textId="2E34FB0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8955540" w14:textId="418E305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4B2948C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E03F947" w14:textId="06E0CDA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97EFF72" w14:textId="793D350F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LaBarge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81A8C68" w14:textId="3C297AA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896360" w14:textId="1E5362C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AB61B71" w14:textId="0000A39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7476F0F" w14:textId="3391908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7C3DFB" w14:textId="72628AB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B62B47A" w14:textId="4970B04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1638438F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F98BD0" w14:textId="03266763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7572F2" w14:textId="7358F629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Lander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C7733A" w14:textId="36E881C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9C2C39" w14:textId="10C6811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594A5D" w14:textId="2A52F6C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86D2CF" w14:textId="4BD1ABD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524750" w14:textId="45BB6EB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F86820E" w14:textId="4293411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96.3%</w:t>
            </w:r>
          </w:p>
        </w:tc>
      </w:tr>
      <w:tr w:rsidR="00B16C88" w:rsidRPr="00182577" w14:paraId="28972A7A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DBBE8CA" w14:textId="2635DF3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Albany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DE335E" w14:textId="7BBFEC41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Laramie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365A0DF" w14:textId="0CD7862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D97171" w14:textId="4343634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CE1BB37" w14:textId="0B43BEE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AD80B8A" w14:textId="4100962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D3F8FD1" w14:textId="4E8CA93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7D00DD" w14:textId="0544570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87.1%</w:t>
            </w:r>
          </w:p>
        </w:tc>
      </w:tr>
      <w:tr w:rsidR="00B16C88" w:rsidRPr="00182577" w14:paraId="11450DD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ECD6FE" w14:textId="29CC9725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Big Horn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00B1C7" w14:textId="28CF1EDD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Lovell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B10186" w14:textId="2CDFD58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94508A" w14:textId="220EB22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E29652" w14:textId="28D6029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ADBFFA" w14:textId="352D8AE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AA9AC9" w14:textId="2F36C764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E00D701" w14:textId="638C0A6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88.9%</w:t>
            </w:r>
          </w:p>
        </w:tc>
      </w:tr>
      <w:tr w:rsidR="00B16C88" w:rsidRPr="00182577" w14:paraId="04BC2157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4F00859" w14:textId="0E77679D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Niobrara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77CFB3F" w14:textId="15CE97E0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Lusk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BF9393" w14:textId="31A53BC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08D59A1" w14:textId="2AF3EFA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9B42644" w14:textId="6B3CCA4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F2CE210" w14:textId="1628067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7E93936" w14:textId="188DD26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448556" w14:textId="13CCE5C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AB49A34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31C296" w14:textId="3698A80A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Uinta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D02AC2B" w14:textId="197354D0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Lyman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939F86" w14:textId="7889667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5BB078" w14:textId="4A2D825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8DCECC" w14:textId="4EEEB8B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4354D4" w14:textId="3730642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1A386F" w14:textId="567DE2D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F3D80F" w14:textId="367402F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7B917890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E66525D" w14:textId="1BA25B54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Niobrara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728995" w14:textId="3E9675B0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Manville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151B22" w14:textId="2D2DC86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BEA085" w14:textId="506E5E6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B20FEDB" w14:textId="3529663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BDE112B" w14:textId="10435E6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14570E5" w14:textId="0388F95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08C59A" w14:textId="38D1943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1913BBCA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CC15DC" w14:textId="5B2F91CA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6F7550" w14:textId="4AF8D8BC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Midwest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F4301E" w14:textId="479F82C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E6AF44" w14:textId="4D690E5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DE784E" w14:textId="5259129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BA0F72" w14:textId="3E2A76D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EF4A5B" w14:textId="7E1E872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104328B" w14:textId="7433A39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B5FD1CA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517FE31" w14:textId="7C18533D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47F598F" w14:textId="4C3E3495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Pavillion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9B842D" w14:textId="097427D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D2A7D8A" w14:textId="4829830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21EE85C" w14:textId="7B9388A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C4C100" w14:textId="65EED0A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52D03F3" w14:textId="15C769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FD8839" w14:textId="1E37084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C2B07E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C9A199" w14:textId="40457691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494E50" w14:textId="43E26C4C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Pine Bluffs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4E23D6" w14:textId="60616E5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C19B3C" w14:textId="14D3959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76D4C7A" w14:textId="141E975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BAB93" w14:textId="74A114D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921CA3" w14:textId="62A937F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F618B55" w14:textId="10D52A6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4D40A1EF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9DC1D50" w14:textId="5CC81D7C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Park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C5D5675" w14:textId="0420121D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Powell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CAC2E3" w14:textId="5D63A3D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4A34606" w14:textId="52928AD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6C2198F" w14:textId="5AE5120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5B8ACC" w14:textId="20F0772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5E873B9" w14:textId="44189F6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1AC6238" w14:textId="7FA8637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92.9%</w:t>
            </w:r>
          </w:p>
        </w:tc>
      </w:tr>
      <w:tr w:rsidR="00B16C88" w:rsidRPr="00182577" w14:paraId="0690E3B8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CA81C1" w14:textId="79FCFB1C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Carbon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E07BB0" w14:textId="793A5F93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Rawlins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F60014" w14:textId="4F7174B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6DE3BF" w14:textId="4E97D3D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6C6E01D" w14:textId="31A5E75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90AE8D" w14:textId="44A9F74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850DEC" w14:textId="47817CB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673E123" w14:textId="4D99A13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86.7%</w:t>
            </w:r>
          </w:p>
        </w:tc>
      </w:tr>
      <w:tr w:rsidR="00B16C88" w:rsidRPr="00182577" w14:paraId="15B1043B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F7CC1D0" w14:textId="19C99731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243CB3" w14:textId="65B9E3BA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Riverton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9398DD9" w14:textId="276247D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0038A2E" w14:textId="006BB55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2D90A6F" w14:textId="3F188C1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B722AC0" w14:textId="2BC3451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5DEED35" w14:textId="7D3F716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3EBBA2" w14:textId="05ED7C2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92.3%</w:t>
            </w:r>
          </w:p>
        </w:tc>
      </w:tr>
      <w:tr w:rsidR="00B16C88" w:rsidRPr="00182577" w14:paraId="1076E79C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488CA7" w14:textId="02C04C1F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Sweetwater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48B817" w14:textId="2634E8FA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Rock Springs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CB0088" w14:textId="56DA7CA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E02165" w14:textId="16EC6471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6DFE2D" w14:textId="05D5F3C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BCE010" w14:textId="7BF50F7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EC85E1" w14:textId="036079E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D8C7D4" w14:textId="2731ECB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87.3%</w:t>
            </w:r>
          </w:p>
        </w:tc>
      </w:tr>
      <w:tr w:rsidR="00B16C88" w:rsidRPr="00182577" w14:paraId="54AA426E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CA00C1C" w14:textId="4153C343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Sheridan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62FD701A" w14:textId="4576A872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Sheridan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FC27ECC" w14:textId="742905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53871A6C" w14:textId="64CD115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10D7190" w14:textId="2A1E80E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7BCA49FF" w14:textId="6F432EDF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A85ADAE" w14:textId="7F6A19D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564BCC3" w14:textId="246F596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95.2%</w:t>
            </w:r>
          </w:p>
        </w:tc>
      </w:tr>
      <w:tr w:rsidR="00B16C88" w:rsidRPr="00182577" w14:paraId="0B74D794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22F7AE" w14:textId="5EC592B7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84AAD3" w14:textId="5C9A6F90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Shoshoni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9A279D" w14:textId="2BB6D58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EE6609" w14:textId="202AA3AA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CD435B" w14:textId="1ED581C2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9DDCF6" w14:textId="7FDFB08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32C093" w14:textId="438384E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012C74F" w14:textId="278E80BD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2FE5B2DD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1C7EECE2" w14:textId="20ED9EF0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C5262B5" w14:textId="56F73394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Thayne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FA193F9" w14:textId="64829F2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44B65F3E" w14:textId="0220E56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2370B8AC" w14:textId="430D5D6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36696E95" w14:textId="72C5597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14:paraId="05C42AA4" w14:textId="18051BC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A48741" w14:textId="1708093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100.0%</w:t>
            </w:r>
          </w:p>
        </w:tc>
      </w:tr>
      <w:tr w:rsidR="00B16C88" w:rsidRPr="00182577" w14:paraId="37A5FB05" w14:textId="77777777" w:rsidTr="00B16C88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7AFB05" w14:textId="2A55A3D3" w:rsidR="00B16C88" w:rsidRPr="00B16C88" w:rsidRDefault="00B16C88" w:rsidP="00B16C88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Goshen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CCAAD" w14:textId="327A9545" w:rsidR="00B16C88" w:rsidRPr="00B16C88" w:rsidRDefault="00B16C88" w:rsidP="00B16C8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Torrington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F84337" w14:textId="23BD33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374BE8" w14:textId="2C759713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67BC3A" w14:textId="36317218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ACD8B5" w14:textId="21F2D36B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027737" w14:textId="7BA57B65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A43C32" w14:textId="167BD57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85.0%</w:t>
            </w:r>
          </w:p>
        </w:tc>
      </w:tr>
      <w:tr w:rsidR="00B16C88" w:rsidRPr="00DD192D" w14:paraId="6E6A4A13" w14:textId="77777777" w:rsidTr="00B16C88">
        <w:trPr>
          <w:trHeight w:hRule="exact" w:val="259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center"/>
          </w:tcPr>
          <w:p w14:paraId="0784792E" w14:textId="77777777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00297DFB" w14:textId="66AC153E" w:rsidR="00B16C88" w:rsidRPr="00B16C88" w:rsidRDefault="00B16C88" w:rsidP="00B16C8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52D2B65D" w14:textId="144B56B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827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78AADFC1" w14:textId="21547C19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760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4E56F2C3" w14:textId="7130B6E0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55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78AC0238" w14:textId="02B52396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12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</w:tcPr>
          <w:p w14:paraId="79DE274F" w14:textId="29BC387E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29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  <w:vAlign w:val="center"/>
          </w:tcPr>
          <w:p w14:paraId="5A970366" w14:textId="2943311C" w:rsidR="00B16C88" w:rsidRPr="00B16C88" w:rsidRDefault="00B16C88" w:rsidP="00B16C88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91.9%</w:t>
            </w:r>
          </w:p>
        </w:tc>
      </w:tr>
    </w:tbl>
    <w:p w14:paraId="2A3E6B36" w14:textId="77777777" w:rsidR="00FB31C9" w:rsidRDefault="00FB31C9">
      <w:pPr>
        <w:sectPr w:rsidR="00FB31C9" w:rsidSect="00CF387E"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37A3B0B0" w14:textId="77777777" w:rsidR="007D75DC" w:rsidRDefault="007D75DC" w:rsidP="00F0572B"/>
    <w:p w14:paraId="1DBE2103" w14:textId="5C146699" w:rsidR="00E96F59" w:rsidRDefault="00E96F59" w:rsidP="00F0572B">
      <w:pPr>
        <w:pStyle w:val="TableTitle"/>
      </w:pPr>
      <w:bookmarkStart w:id="35" w:name="_Toc502600922"/>
      <w:r w:rsidRPr="00C0523B">
        <w:t>Table 3.</w:t>
      </w:r>
      <w:r w:rsidR="005E1C61">
        <w:t>6</w:t>
      </w:r>
      <w:r w:rsidRPr="00C0523B">
        <w:t xml:space="preserve">. </w:t>
      </w:r>
      <w:r w:rsidR="005E1C61">
        <w:t>Summary of Tobacco</w:t>
      </w:r>
      <w:r w:rsidR="009F7EA8">
        <w:t xml:space="preserve"> Sales </w:t>
      </w:r>
      <w:r w:rsidR="005E1C61">
        <w:t>Compliance Rates by Municipality (20</w:t>
      </w:r>
      <w:r w:rsidR="006D5A42">
        <w:t>1</w:t>
      </w:r>
      <w:r w:rsidR="00B16C88">
        <w:t>7</w:t>
      </w:r>
      <w:r w:rsidR="005E1C61">
        <w:t>)</w:t>
      </w:r>
      <w:bookmarkEnd w:id="35"/>
    </w:p>
    <w:tbl>
      <w:tblPr>
        <w:tblW w:w="9844" w:type="dxa"/>
        <w:tblLook w:val="04A0" w:firstRow="1" w:lastRow="0" w:firstColumn="1" w:lastColumn="0" w:noHBand="0" w:noVBand="1"/>
      </w:tblPr>
      <w:tblGrid>
        <w:gridCol w:w="1316"/>
        <w:gridCol w:w="1114"/>
        <w:gridCol w:w="664"/>
        <w:gridCol w:w="1226"/>
        <w:gridCol w:w="810"/>
        <w:gridCol w:w="844"/>
        <w:gridCol w:w="506"/>
        <w:gridCol w:w="932"/>
        <w:gridCol w:w="688"/>
        <w:gridCol w:w="1080"/>
        <w:gridCol w:w="664"/>
      </w:tblGrid>
      <w:tr w:rsidR="0061676C" w:rsidRPr="0061676C" w14:paraId="61E71332" w14:textId="77777777" w:rsidTr="00C23C6B">
        <w:trPr>
          <w:trHeight w:val="240"/>
        </w:trPr>
        <w:tc>
          <w:tcPr>
            <w:tcW w:w="984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93586" w14:textId="6292ED5E" w:rsidR="0061676C" w:rsidRPr="0061676C" w:rsidRDefault="0061676C" w:rsidP="0061676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B304BE" w:rsidRPr="0061676C" w14:paraId="53CFB466" w14:textId="77777777" w:rsidTr="00C23C6B">
        <w:trPr>
          <w:trHeight w:val="4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78D843DF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1BB0C9A2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99.9% - 90.0%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68341CFF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89.9% - 80.0%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324957FA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79.9% - 70.0%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42C0D688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69.9% - 60.0%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7AF2E888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59.9% - 0.0%</w:t>
            </w:r>
          </w:p>
        </w:tc>
      </w:tr>
      <w:tr w:rsidR="00B304BE" w:rsidRPr="0061676C" w14:paraId="699DDCB8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24884CB" w14:textId="7BA85A15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Albin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47D" w14:textId="1DF60C0C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2BD" w14:textId="3E20755F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9610064" w14:textId="34653ADD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Lovell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9590453" w14:textId="2A8FF73E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7B1B5" w14:textId="075377CC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2027" w14:textId="3AE892C6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3693D" w14:textId="5FC58819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Evansville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9004E" w14:textId="6943CD01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A48D" w14:textId="5B6468F2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Basin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847F" w14:textId="361AE022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B304BE" w:rsidRPr="0061676C" w14:paraId="3FF48975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8295DDA" w14:textId="5BD5A762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Alcova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5A53" w14:textId="3941FC4D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EBBB" w14:textId="7FBF2422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97.0%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C134D02" w14:textId="700CDFE2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Rock Springs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B7E2B1A" w14:textId="38F5E38D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87.3%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87B6E" w14:textId="0C8B828A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15E3" w14:textId="282773A0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B860A9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0F9E6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E9D5" w14:textId="4015587C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Burns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8532" w14:textId="0DF0689D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B304BE" w:rsidRPr="0061676C" w14:paraId="1BF83A0C" w14:textId="77777777" w:rsidTr="00C23C6B">
        <w:trPr>
          <w:trHeight w:hRule="exact"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234A337C" w14:textId="7F5C4CB9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D7B0" w14:textId="3F646075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Gillette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B42" w14:textId="68398654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96.4%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92F813F" w14:textId="4C277B34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Laramie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E7DFF30" w14:textId="21AE51B5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87.1%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3C235" w14:textId="4477BB74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4910" w14:textId="5F1BB190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B5D489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A770EC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EFF7" w14:textId="5E3B6F9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Greybull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B598" w14:textId="6950FC82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50.0%</w:t>
            </w:r>
          </w:p>
        </w:tc>
      </w:tr>
      <w:tr w:rsidR="00B304BE" w:rsidRPr="0061676C" w14:paraId="46AB4EC6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CD7B02F" w14:textId="58EC31C1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Byron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BC0A" w14:textId="76A44F8E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Lander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19E" w14:textId="0523CBCA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36F26E6" w14:textId="37816219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Rawlins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A3430DB" w14:textId="799D2EA6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86.7%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2F93B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024B3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CBFD2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79822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16B6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0D18" w14:textId="77777777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304BE" w:rsidRPr="0061676C" w14:paraId="6E6F7CA0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34F9E1D7" w14:textId="6EA87BE3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Cokeville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BBC3" w14:textId="70CC082A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0CB2" w14:textId="458ABBFA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95.8%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D44CF05" w14:textId="1E1380C8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C6E229" w14:textId="6D40307A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85.0%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DF15BD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1BB23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8538DB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E30F3D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5D4B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0B0" w14:textId="77777777" w:rsidR="00B304BE" w:rsidRPr="0061676C" w:rsidRDefault="00B304BE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304BE" w:rsidRPr="0061676C" w14:paraId="3D2D694F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60D0B46" w14:textId="7C2A640F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Cowley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4DB9" w14:textId="78152AEB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Sheridan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57B" w14:textId="7D6BDD88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95.2%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08F1283" w14:textId="52909E86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BC61BD6" w14:textId="111E4B3B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2697F8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0B38C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4F361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98AD4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E8DE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E40" w14:textId="77777777" w:rsidR="00B304BE" w:rsidRPr="0061676C" w:rsidRDefault="00B304BE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B304BE" w:rsidRPr="0061676C" w14:paraId="5A7A46DF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22DCE0D" w14:textId="1A1AA933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Crowheart</w:t>
            </w:r>
            <w:proofErr w:type="spellEnd"/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4BF" w14:textId="62A76BC4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Casper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374" w14:textId="687B8051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95.0%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D45DF74" w14:textId="5238D406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Kemmerer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C9A4EB7" w14:textId="692ACFDB" w:rsidR="00B304BE" w:rsidRPr="00B304BE" w:rsidRDefault="00B304BE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80.0%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CA99C6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A0BDC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5C2FA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5B24E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5118" w14:textId="77777777" w:rsidR="00B304BE" w:rsidRPr="00B304BE" w:rsidRDefault="00B304BE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22C" w14:textId="77777777" w:rsidR="00B304BE" w:rsidRPr="0061676C" w:rsidRDefault="00B304BE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0F12AD3D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FFDC0A4" w14:textId="5124766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Diamondville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F12" w14:textId="24163B1B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Evanston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7EC" w14:textId="5F7E07E2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93.5%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A63AF2B" w14:textId="4C16D40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4D43D492" w14:textId="37C16D44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3EB79C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6BBF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35692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0F5A54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109A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D63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109DC149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5A8CBF52" w14:textId="7E54C16B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10A" w14:textId="35C31C0E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Powell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E289" w14:textId="28F34368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92.9%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4E97CCE" w14:textId="4312172A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C65DF46" w14:textId="73480C8E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33649D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788F8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E52D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C8CD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2D27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1B58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36283A05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0F0CB77C" w14:textId="07FFE160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Etna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B8BB" w14:textId="4D9DD950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Riverton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CFF9" w14:textId="648CF6EE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856EFA" w14:textId="3611E8A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8FF5FC3" w14:textId="4E708B0C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987E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F1DAD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126C9D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D72C4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97BB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233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269BE386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046B433" w14:textId="0845A05D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Fort Bridger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CEF5" w14:textId="672C658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8350" w14:textId="77FDBADB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91.7%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1D8D13" w14:textId="7C54DAB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B9D2DE" w14:textId="6F227F20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B54A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975B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9D42F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1FE84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6F7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A86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29F637D4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574520A" w14:textId="2E72EAF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Green River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129E" w14:textId="12E2E9AE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Cheyenne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E7BB" w14:textId="6D83D170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E0AA7B" w14:textId="0ECC3648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F8F757" w14:textId="1C8C7AB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35A97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DA13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64EC4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CA71A1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30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7F0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364F151E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5C87A3C" w14:textId="722AD07A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Hiland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2ECE" w14:textId="1E0F570E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Dubois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7AF7" w14:textId="7D18970B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001F50" w14:textId="214459D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BE01C7" w14:textId="23D761B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56EE3C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3D74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8853D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048079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BFD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E12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73A78DA7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2E9EBCE" w14:textId="0905224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Kinnear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F163" w14:textId="33677BF4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3B9B" w14:textId="240B1C54" w:rsidR="00C23C6B" w:rsidRPr="00B304BE" w:rsidRDefault="00C23C6B" w:rsidP="00B304B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2F7E94" w14:textId="7EB04F14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17C25E" w14:textId="63A915FE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885861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5EFA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4F5937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1E55E4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ED88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537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08567C4C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DF2353A" w14:textId="56E009E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LaBarge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F21F" w14:textId="5C1CF7C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5796F" w14:textId="594A9071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907FED" w14:textId="4B88BDF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887075" w14:textId="1A65DCC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4EE550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F95E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CE6AA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DF85C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1036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ABF4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1D3D261D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78EB1C1D" w14:textId="50C82170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Lusk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280B0" w14:textId="6C38DDB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FDF63" w14:textId="7801BAB4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99D81F" w14:textId="0C75C7B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04DA2D" w14:textId="253E4E1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32E40A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187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AF70D6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88C47E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EE44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E09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2C984D16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4DEBEE04" w14:textId="27F9C982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Lyman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6F43B" w14:textId="75649122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46109" w14:textId="3B9ADB13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2B7BCC" w14:textId="51F5F732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391FAC" w14:textId="32F7A82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80C5CE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BC7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69571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401469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2F2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D9A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49E4DB15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9D20B0C" w14:textId="04F8DAF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Manville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C532" w14:textId="46A56931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FCFF9" w14:textId="5D0ECFCB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3A883C" w14:textId="5F19D682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89142D" w14:textId="2CE98B5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D7ECE6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F26C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0BDBEB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00B98A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DA8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42F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32B2F9EB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6BB57FB4" w14:textId="3070547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Midwest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11CBF" w14:textId="58E5A922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884B5" w14:textId="0EB240E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37EBDF" w14:textId="5C357ABF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6094DE" w14:textId="0AB4E48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BCDBD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AE8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22164F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BE9EE1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0D5" w14:textId="77777777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613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14E60D4C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172A7F52" w14:textId="50AB58CA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spellStart"/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Pavillion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2330" w14:textId="729B3F30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9BD54" w14:textId="0706D8EC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79F137FF" w14:textId="2D6BA6D4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35FE34D6" w14:textId="258D00FD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3DD1AD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D52F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7C1EF4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BC36EE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376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F807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4E3CC18A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5898CD89" w14:textId="5EC2B869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Pine Bluffs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F20F" w14:textId="5630E213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01BDD" w14:textId="27F42AA2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0DB9D537" w14:textId="150A54D5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D354FFC" w14:textId="15EBE058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4A4871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558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3BE931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6DF00B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9768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6094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722DB48F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0BD9B8AE" w14:textId="284CB618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Shoshoni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B41E" w14:textId="7040A74F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0B2A0" w14:textId="1860BF9A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2F161CB" w14:textId="6A8CA203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21416F08" w14:textId="48652015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D47EB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DD2F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4E339B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1EB1DB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CB71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053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C23C6B" w:rsidRPr="0061676C" w14:paraId="121B8AA8" w14:textId="77777777" w:rsidTr="00C23C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14:paraId="5E74CBEE" w14:textId="6DFD3985" w:rsidR="00C23C6B" w:rsidRPr="00B304BE" w:rsidRDefault="00C23C6B" w:rsidP="00B304B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Thayne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C05E93" w14:textId="5E0C5F8B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90393" w14:textId="5CC07319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6B0ACD88" w14:textId="47DB6A60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87BBDEA" w14:textId="30304BDF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3175E0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F13C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CA62FD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4455BB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CE42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652" w14:textId="77777777" w:rsidR="00C23C6B" w:rsidRPr="0061676C" w:rsidRDefault="00C23C6B" w:rsidP="00B304BE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14:paraId="6A037F93" w14:textId="77777777" w:rsidR="00CF387E" w:rsidRDefault="00CF387E" w:rsidP="00E8277E"/>
    <w:sectPr w:rsidR="00CF387E" w:rsidSect="00CF38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F91D" w14:textId="77777777" w:rsidR="00B121AD" w:rsidRDefault="00B121AD">
      <w:r>
        <w:separator/>
      </w:r>
    </w:p>
  </w:endnote>
  <w:endnote w:type="continuationSeparator" w:id="0">
    <w:p w14:paraId="54590A27" w14:textId="77777777" w:rsidR="00B121AD" w:rsidRDefault="00B1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1A075" w14:textId="77777777" w:rsidR="00E41573" w:rsidRDefault="00E41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CEE74" w14:textId="77777777" w:rsidR="00B121AD" w:rsidRDefault="00B121AD">
      <w:r>
        <w:separator/>
      </w:r>
    </w:p>
  </w:footnote>
  <w:footnote w:type="continuationSeparator" w:id="0">
    <w:p w14:paraId="585AC616" w14:textId="77777777" w:rsidR="00B121AD" w:rsidRDefault="00B121AD">
      <w:r>
        <w:continuationSeparator/>
      </w:r>
    </w:p>
  </w:footnote>
  <w:footnote w:id="1">
    <w:p w14:paraId="3807229F" w14:textId="77777777" w:rsidR="00E41573" w:rsidRPr="00CC439D" w:rsidRDefault="00E41573">
      <w:pPr>
        <w:pStyle w:val="FootnoteText"/>
        <w:rPr>
          <w:sz w:val="18"/>
          <w:szCs w:val="18"/>
        </w:rPr>
      </w:pPr>
      <w:r w:rsidRPr="00CF7256">
        <w:rPr>
          <w:rStyle w:val="FootnoteReference"/>
        </w:rPr>
        <w:footnoteRef/>
      </w:r>
      <w:r w:rsidRPr="00CC439D">
        <w:rPr>
          <w:sz w:val="18"/>
          <w:szCs w:val="18"/>
        </w:rPr>
        <w:t xml:space="preserve"> Nelson-Bragg, T. (2011). </w:t>
      </w:r>
      <w:r w:rsidRPr="00CC439D">
        <w:rPr>
          <w:i/>
          <w:sz w:val="18"/>
          <w:szCs w:val="18"/>
        </w:rPr>
        <w:t>State of Wyoming Compliance Check Manual.</w:t>
      </w:r>
      <w:r w:rsidRPr="00CC439D">
        <w:rPr>
          <w:sz w:val="18"/>
          <w:szCs w:val="18"/>
        </w:rPr>
        <w:t xml:space="preserve"> Published by the Wyoming Department of Health, Behavioral Health Division and Wyoming Association of Sheriffs and Chiefs of Police. </w:t>
      </w:r>
    </w:p>
  </w:footnote>
  <w:footnote w:id="2">
    <w:p w14:paraId="04C8105F" w14:textId="705B5833" w:rsidR="00E41573" w:rsidRPr="00252F3B" w:rsidRDefault="00E41573">
      <w:pPr>
        <w:pStyle w:val="FootnoteText"/>
        <w:rPr>
          <w:sz w:val="14"/>
        </w:rPr>
      </w:pPr>
      <w:r w:rsidRPr="00CF7256">
        <w:rPr>
          <w:rStyle w:val="FootnoteReference"/>
        </w:rPr>
        <w:footnoteRef/>
      </w:r>
      <w:r>
        <w:t xml:space="preserve"> </w:t>
      </w:r>
      <w:r>
        <w:rPr>
          <w:sz w:val="18"/>
        </w:rPr>
        <w:t>WYSAC (2016</w:t>
      </w:r>
      <w:r w:rsidRPr="0008117D">
        <w:rPr>
          <w:sz w:val="18"/>
        </w:rPr>
        <w:t xml:space="preserve">) </w:t>
      </w:r>
      <w:r w:rsidRPr="0008117D">
        <w:rPr>
          <w:i/>
          <w:sz w:val="18"/>
        </w:rPr>
        <w:t>Wyoming Alcohol and Tobacco Compliance Checks, 20</w:t>
      </w:r>
      <w:r>
        <w:rPr>
          <w:i/>
          <w:sz w:val="18"/>
        </w:rPr>
        <w:t>16</w:t>
      </w:r>
      <w:r w:rsidRPr="0008117D">
        <w:rPr>
          <w:i/>
          <w:sz w:val="18"/>
        </w:rPr>
        <w:t xml:space="preserve">, </w:t>
      </w:r>
      <w:r w:rsidRPr="0008117D">
        <w:rPr>
          <w:sz w:val="18"/>
        </w:rPr>
        <w:t xml:space="preserve">by Holder, W. T. (WYSAC Technical Report No. </w:t>
      </w:r>
      <w:r w:rsidRPr="00C26967">
        <w:rPr>
          <w:sz w:val="18"/>
        </w:rPr>
        <w:t>SRC-</w:t>
      </w:r>
      <w:r w:rsidR="00C26967" w:rsidRPr="00C26967">
        <w:rPr>
          <w:sz w:val="18"/>
        </w:rPr>
        <w:t>1609</w:t>
      </w:r>
      <w:r w:rsidRPr="00C26967">
        <w:rPr>
          <w:sz w:val="18"/>
        </w:rPr>
        <w:t>).</w:t>
      </w:r>
      <w:r w:rsidRPr="0008117D">
        <w:rPr>
          <w:sz w:val="18"/>
        </w:rPr>
        <w:t xml:space="preserve"> Laramie, WY: Wyoming Survey &amp; Analysis Center, University of Wyoming.</w:t>
      </w:r>
    </w:p>
  </w:footnote>
  <w:footnote w:id="3">
    <w:p w14:paraId="0A28C17D" w14:textId="52E97356" w:rsidR="00E41573" w:rsidRPr="00E4621B" w:rsidRDefault="00E41573" w:rsidP="00170457">
      <w:pPr>
        <w:pStyle w:val="Citation"/>
      </w:pPr>
      <w:r w:rsidRPr="00CF7256">
        <w:rPr>
          <w:rStyle w:val="FootnoteReference"/>
        </w:rPr>
        <w:footnoteRef/>
      </w:r>
      <w:r w:rsidRPr="0008117D">
        <w:t xml:space="preserve"> </w:t>
      </w:r>
      <w:r>
        <w:rPr>
          <w:sz w:val="18"/>
        </w:rPr>
        <w:t>WYSAC (2016</w:t>
      </w:r>
      <w:r w:rsidRPr="0008117D">
        <w:rPr>
          <w:sz w:val="18"/>
        </w:rPr>
        <w:t xml:space="preserve">) </w:t>
      </w:r>
      <w:r w:rsidRPr="0008117D">
        <w:rPr>
          <w:i/>
          <w:sz w:val="18"/>
        </w:rPr>
        <w:t>Wyoming Alcohol and Tobacco Compliance Checks, 20</w:t>
      </w:r>
      <w:r>
        <w:rPr>
          <w:i/>
          <w:sz w:val="18"/>
        </w:rPr>
        <w:t>16</w:t>
      </w:r>
      <w:r w:rsidRPr="0008117D">
        <w:rPr>
          <w:i/>
          <w:sz w:val="18"/>
        </w:rPr>
        <w:t xml:space="preserve">, </w:t>
      </w:r>
      <w:r w:rsidRPr="0008117D">
        <w:rPr>
          <w:sz w:val="18"/>
        </w:rPr>
        <w:t>by Holder, W. T. (WYSAC Technical Report No. SRC</w:t>
      </w:r>
      <w:r w:rsidRPr="003E3FA5">
        <w:rPr>
          <w:sz w:val="18"/>
        </w:rPr>
        <w:t>-1</w:t>
      </w:r>
      <w:r w:rsidR="003E3FA5" w:rsidRPr="003E3FA5">
        <w:rPr>
          <w:sz w:val="18"/>
        </w:rPr>
        <w:t>609</w:t>
      </w:r>
      <w:r w:rsidRPr="003E3FA5">
        <w:rPr>
          <w:sz w:val="18"/>
        </w:rPr>
        <w:t>).</w:t>
      </w:r>
      <w:r w:rsidRPr="0008117D">
        <w:rPr>
          <w:sz w:val="18"/>
        </w:rPr>
        <w:t xml:space="preserve"> Laramie, WY: Wyoming Survey &amp; Analysis Center, University of Wyoming.</w:t>
      </w:r>
    </w:p>
    <w:p w14:paraId="58939BFF" w14:textId="77777777" w:rsidR="00E41573" w:rsidRDefault="00E41573" w:rsidP="0017045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69877" w14:textId="4B05DBDE" w:rsidR="00E41573" w:rsidRDefault="00E41573" w:rsidP="009C3FA4">
    <w:pPr>
      <w:pStyle w:val="Header"/>
      <w:tabs>
        <w:tab w:val="clear" w:pos="4320"/>
        <w:tab w:val="right" w:pos="9360"/>
      </w:tabs>
      <w:jc w:val="center"/>
    </w:pPr>
    <w:r>
      <w:t>WYSAC, University of Wyoming</w:t>
    </w:r>
    <w:r>
      <w:tab/>
    </w:r>
    <w:r w:rsidRPr="008E3315">
      <w:t>Alcohol and Tobacco Sales Compliance Checks, 201</w:t>
    </w:r>
    <w:r>
      <w:t>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5812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62FC" w14:textId="77777777" w:rsidR="00E41573" w:rsidRDefault="00E41573" w:rsidP="00C11CE9">
    <w:pPr>
      <w:pStyle w:val="Header"/>
      <w:tabs>
        <w:tab w:val="clear" w:pos="4320"/>
        <w:tab w:val="clear" w:pos="8640"/>
        <w:tab w:val="left" w:pos="990"/>
        <w:tab w:val="left" w:pos="36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E79E" w14:textId="74B02E27" w:rsidR="00E41573" w:rsidRDefault="00E41573" w:rsidP="000F2FC8">
    <w:pPr>
      <w:pStyle w:val="Header"/>
      <w:tabs>
        <w:tab w:val="clear" w:pos="4320"/>
        <w:tab w:val="right" w:pos="9360"/>
      </w:tabs>
    </w:pPr>
    <w:r>
      <w:t>WYSAC, University of Wyoming</w:t>
    </w:r>
    <w:r>
      <w:tab/>
    </w:r>
    <w:r w:rsidRPr="000404D9">
      <w:t xml:space="preserve">Alcohol and Tobacco </w:t>
    </w:r>
    <w:r>
      <w:t xml:space="preserve">Sales </w:t>
    </w:r>
    <w:r w:rsidRPr="000404D9">
      <w:t>Compliance Checks, 201</w:t>
    </w:r>
    <w:r>
      <w:t>7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5812">
      <w:rPr>
        <w:rStyle w:val="PageNumber"/>
        <w:noProof/>
      </w:rPr>
      <w:t>16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90336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2"/>
    <w:multiLevelType w:val="singleLevel"/>
    <w:tmpl w:val="06F06766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D6C621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873B5C"/>
    <w:multiLevelType w:val="hybridMultilevel"/>
    <w:tmpl w:val="032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B4999"/>
    <w:multiLevelType w:val="multilevel"/>
    <w:tmpl w:val="C00AC6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0B587044"/>
    <w:multiLevelType w:val="hybridMultilevel"/>
    <w:tmpl w:val="7222E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3E00"/>
    <w:multiLevelType w:val="hybridMultilevel"/>
    <w:tmpl w:val="8A789FB2"/>
    <w:lvl w:ilvl="0" w:tplc="AA18EF4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F07D1"/>
    <w:multiLevelType w:val="hybridMultilevel"/>
    <w:tmpl w:val="03402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9F3B33"/>
    <w:multiLevelType w:val="hybridMultilevel"/>
    <w:tmpl w:val="1388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74AE"/>
    <w:multiLevelType w:val="hybridMultilevel"/>
    <w:tmpl w:val="842A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27B"/>
    <w:multiLevelType w:val="hybridMultilevel"/>
    <w:tmpl w:val="67F4845C"/>
    <w:lvl w:ilvl="0" w:tplc="536CD720">
      <w:start w:val="1"/>
      <w:numFmt w:val="decimal"/>
      <w:pStyle w:val="NumberedList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5F13"/>
    <w:multiLevelType w:val="hybridMultilevel"/>
    <w:tmpl w:val="49FA6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24B35"/>
    <w:multiLevelType w:val="multilevel"/>
    <w:tmpl w:val="0EC048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62C4964"/>
    <w:multiLevelType w:val="hybridMultilevel"/>
    <w:tmpl w:val="B0CA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37E33"/>
    <w:multiLevelType w:val="multilevel"/>
    <w:tmpl w:val="0409001D"/>
    <w:styleLink w:val="NumberedLis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621100"/>
    <w:multiLevelType w:val="multilevel"/>
    <w:tmpl w:val="0409001D"/>
    <w:numStyleLink w:val="NumberedList1"/>
  </w:abstractNum>
  <w:abstractNum w:abstractNumId="16" w15:restartNumberingAfterBreak="0">
    <w:nsid w:val="5BB2103C"/>
    <w:multiLevelType w:val="hybridMultilevel"/>
    <w:tmpl w:val="D1C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11DBC"/>
    <w:multiLevelType w:val="hybridMultilevel"/>
    <w:tmpl w:val="BDE8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E12FB"/>
    <w:multiLevelType w:val="hybridMultilevel"/>
    <w:tmpl w:val="D97C004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17"/>
  </w:num>
  <w:num w:numId="18">
    <w:abstractNumId w:val="7"/>
  </w:num>
  <w:num w:numId="19">
    <w:abstractNumId w:val="18"/>
  </w:num>
  <w:num w:numId="20">
    <w:abstractNumId w:val="12"/>
  </w:num>
  <w:num w:numId="21">
    <w:abstractNumId w:val="11"/>
  </w:num>
  <w:num w:numId="22">
    <w:abstractNumId w:val="3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MDQ0Nzc1NTQ1MTVT0lEKTi0uzszPAykwqgUAR4yfwCwAAAA="/>
  </w:docVars>
  <w:rsids>
    <w:rsidRoot w:val="00034DC4"/>
    <w:rsid w:val="00000533"/>
    <w:rsid w:val="000005FD"/>
    <w:rsid w:val="0000175C"/>
    <w:rsid w:val="00002273"/>
    <w:rsid w:val="00002FEE"/>
    <w:rsid w:val="000050D5"/>
    <w:rsid w:val="000069FE"/>
    <w:rsid w:val="00007424"/>
    <w:rsid w:val="00012FF8"/>
    <w:rsid w:val="0001458D"/>
    <w:rsid w:val="00015959"/>
    <w:rsid w:val="000176D0"/>
    <w:rsid w:val="00020846"/>
    <w:rsid w:val="00021368"/>
    <w:rsid w:val="00021EEA"/>
    <w:rsid w:val="00022403"/>
    <w:rsid w:val="00023C31"/>
    <w:rsid w:val="00030C05"/>
    <w:rsid w:val="000345F0"/>
    <w:rsid w:val="00034DC4"/>
    <w:rsid w:val="00037788"/>
    <w:rsid w:val="000404D9"/>
    <w:rsid w:val="000413F7"/>
    <w:rsid w:val="00041D60"/>
    <w:rsid w:val="0004246A"/>
    <w:rsid w:val="00042B38"/>
    <w:rsid w:val="00045266"/>
    <w:rsid w:val="00045359"/>
    <w:rsid w:val="00045E58"/>
    <w:rsid w:val="00046FA2"/>
    <w:rsid w:val="0004751F"/>
    <w:rsid w:val="00047FD7"/>
    <w:rsid w:val="000515A4"/>
    <w:rsid w:val="00052715"/>
    <w:rsid w:val="00054B77"/>
    <w:rsid w:val="0005788C"/>
    <w:rsid w:val="00066726"/>
    <w:rsid w:val="0006753D"/>
    <w:rsid w:val="00070B23"/>
    <w:rsid w:val="00071551"/>
    <w:rsid w:val="00073EAE"/>
    <w:rsid w:val="00080D93"/>
    <w:rsid w:val="0008117D"/>
    <w:rsid w:val="00084132"/>
    <w:rsid w:val="00085B8F"/>
    <w:rsid w:val="00087DEA"/>
    <w:rsid w:val="0009508F"/>
    <w:rsid w:val="000A0351"/>
    <w:rsid w:val="000A12CB"/>
    <w:rsid w:val="000A30EA"/>
    <w:rsid w:val="000A3A58"/>
    <w:rsid w:val="000A4AFD"/>
    <w:rsid w:val="000A7AEB"/>
    <w:rsid w:val="000B0663"/>
    <w:rsid w:val="000B4F69"/>
    <w:rsid w:val="000C0C46"/>
    <w:rsid w:val="000C1286"/>
    <w:rsid w:val="000C1CFF"/>
    <w:rsid w:val="000C3375"/>
    <w:rsid w:val="000C3531"/>
    <w:rsid w:val="000C6F86"/>
    <w:rsid w:val="000C79FC"/>
    <w:rsid w:val="000C7AA7"/>
    <w:rsid w:val="000D19C0"/>
    <w:rsid w:val="000D36DE"/>
    <w:rsid w:val="000D580E"/>
    <w:rsid w:val="000D5EB7"/>
    <w:rsid w:val="000E18F2"/>
    <w:rsid w:val="000E2A1D"/>
    <w:rsid w:val="000E4304"/>
    <w:rsid w:val="000F223B"/>
    <w:rsid w:val="000F2366"/>
    <w:rsid w:val="000F2FC8"/>
    <w:rsid w:val="000F308D"/>
    <w:rsid w:val="000F315B"/>
    <w:rsid w:val="000F353A"/>
    <w:rsid w:val="000F3F9B"/>
    <w:rsid w:val="000F7007"/>
    <w:rsid w:val="00100738"/>
    <w:rsid w:val="001028B2"/>
    <w:rsid w:val="0011006C"/>
    <w:rsid w:val="0011426C"/>
    <w:rsid w:val="001165CC"/>
    <w:rsid w:val="00116C3B"/>
    <w:rsid w:val="00116E70"/>
    <w:rsid w:val="00124E01"/>
    <w:rsid w:val="00126339"/>
    <w:rsid w:val="0012647F"/>
    <w:rsid w:val="0013298C"/>
    <w:rsid w:val="0014075B"/>
    <w:rsid w:val="001452F9"/>
    <w:rsid w:val="00145877"/>
    <w:rsid w:val="00147CE4"/>
    <w:rsid w:val="00152D8A"/>
    <w:rsid w:val="00154E42"/>
    <w:rsid w:val="001601A0"/>
    <w:rsid w:val="00160F94"/>
    <w:rsid w:val="00161090"/>
    <w:rsid w:val="00161470"/>
    <w:rsid w:val="001626D2"/>
    <w:rsid w:val="00162F40"/>
    <w:rsid w:val="00165043"/>
    <w:rsid w:val="00166E1F"/>
    <w:rsid w:val="00170457"/>
    <w:rsid w:val="001733C2"/>
    <w:rsid w:val="00180D50"/>
    <w:rsid w:val="00182577"/>
    <w:rsid w:val="0018265E"/>
    <w:rsid w:val="00183CA1"/>
    <w:rsid w:val="0018466B"/>
    <w:rsid w:val="001849CF"/>
    <w:rsid w:val="00190445"/>
    <w:rsid w:val="001909E7"/>
    <w:rsid w:val="00191DAA"/>
    <w:rsid w:val="00194BEE"/>
    <w:rsid w:val="00197602"/>
    <w:rsid w:val="001A2F73"/>
    <w:rsid w:val="001A7485"/>
    <w:rsid w:val="001B1A00"/>
    <w:rsid w:val="001B1BA7"/>
    <w:rsid w:val="001B25BA"/>
    <w:rsid w:val="001B3B1E"/>
    <w:rsid w:val="001B5358"/>
    <w:rsid w:val="001B73E3"/>
    <w:rsid w:val="001C07D8"/>
    <w:rsid w:val="001C0CD1"/>
    <w:rsid w:val="001C5E31"/>
    <w:rsid w:val="001C6447"/>
    <w:rsid w:val="001D46F9"/>
    <w:rsid w:val="001D5710"/>
    <w:rsid w:val="001D6174"/>
    <w:rsid w:val="001D6803"/>
    <w:rsid w:val="001E0B25"/>
    <w:rsid w:val="001E0DDA"/>
    <w:rsid w:val="001E647F"/>
    <w:rsid w:val="001F1BC6"/>
    <w:rsid w:val="001F2248"/>
    <w:rsid w:val="001F2329"/>
    <w:rsid w:val="001F27BE"/>
    <w:rsid w:val="001F5E55"/>
    <w:rsid w:val="001F75B7"/>
    <w:rsid w:val="001F7A62"/>
    <w:rsid w:val="00201CCA"/>
    <w:rsid w:val="0020238E"/>
    <w:rsid w:val="00202C1F"/>
    <w:rsid w:val="00202F86"/>
    <w:rsid w:val="002032A9"/>
    <w:rsid w:val="00211877"/>
    <w:rsid w:val="00211B0C"/>
    <w:rsid w:val="00211CDF"/>
    <w:rsid w:val="00212AE1"/>
    <w:rsid w:val="002131E7"/>
    <w:rsid w:val="00214477"/>
    <w:rsid w:val="00216928"/>
    <w:rsid w:val="00221D19"/>
    <w:rsid w:val="002251CD"/>
    <w:rsid w:val="00226915"/>
    <w:rsid w:val="002302A2"/>
    <w:rsid w:val="0023222B"/>
    <w:rsid w:val="00233C08"/>
    <w:rsid w:val="00233C9C"/>
    <w:rsid w:val="00240994"/>
    <w:rsid w:val="00243653"/>
    <w:rsid w:val="0024663F"/>
    <w:rsid w:val="00252F3B"/>
    <w:rsid w:val="00253DD6"/>
    <w:rsid w:val="0025574D"/>
    <w:rsid w:val="002576AE"/>
    <w:rsid w:val="0025799F"/>
    <w:rsid w:val="00260B9B"/>
    <w:rsid w:val="00264050"/>
    <w:rsid w:val="0026753C"/>
    <w:rsid w:val="0027404C"/>
    <w:rsid w:val="0027545E"/>
    <w:rsid w:val="0027602C"/>
    <w:rsid w:val="002767FE"/>
    <w:rsid w:val="0028046C"/>
    <w:rsid w:val="0028189F"/>
    <w:rsid w:val="0028285E"/>
    <w:rsid w:val="00283CDA"/>
    <w:rsid w:val="00286E86"/>
    <w:rsid w:val="00294E68"/>
    <w:rsid w:val="00295178"/>
    <w:rsid w:val="002961D6"/>
    <w:rsid w:val="002A03A9"/>
    <w:rsid w:val="002A39E5"/>
    <w:rsid w:val="002A7F27"/>
    <w:rsid w:val="002B00EA"/>
    <w:rsid w:val="002B1873"/>
    <w:rsid w:val="002B25A1"/>
    <w:rsid w:val="002B2977"/>
    <w:rsid w:val="002B3775"/>
    <w:rsid w:val="002B3784"/>
    <w:rsid w:val="002C30A2"/>
    <w:rsid w:val="002C45BB"/>
    <w:rsid w:val="002C4AEA"/>
    <w:rsid w:val="002C68B5"/>
    <w:rsid w:val="002D0B50"/>
    <w:rsid w:val="002D1AB2"/>
    <w:rsid w:val="002D2E96"/>
    <w:rsid w:val="002D4DE3"/>
    <w:rsid w:val="002D514E"/>
    <w:rsid w:val="002E1180"/>
    <w:rsid w:val="002E24C0"/>
    <w:rsid w:val="002E298D"/>
    <w:rsid w:val="002E30EC"/>
    <w:rsid w:val="002E51B1"/>
    <w:rsid w:val="002E67FE"/>
    <w:rsid w:val="002E69B9"/>
    <w:rsid w:val="002E7CC5"/>
    <w:rsid w:val="002E7D2D"/>
    <w:rsid w:val="002F00AD"/>
    <w:rsid w:val="002F2AC8"/>
    <w:rsid w:val="002F60F1"/>
    <w:rsid w:val="002F63DB"/>
    <w:rsid w:val="00314573"/>
    <w:rsid w:val="0031491C"/>
    <w:rsid w:val="003238D9"/>
    <w:rsid w:val="00323C34"/>
    <w:rsid w:val="00323C5D"/>
    <w:rsid w:val="00325314"/>
    <w:rsid w:val="0032784D"/>
    <w:rsid w:val="00331CCA"/>
    <w:rsid w:val="00332AD9"/>
    <w:rsid w:val="003339B7"/>
    <w:rsid w:val="00335121"/>
    <w:rsid w:val="00337F63"/>
    <w:rsid w:val="0034142B"/>
    <w:rsid w:val="00342D6A"/>
    <w:rsid w:val="003432F2"/>
    <w:rsid w:val="00343F9F"/>
    <w:rsid w:val="00346026"/>
    <w:rsid w:val="0035007C"/>
    <w:rsid w:val="00350D6E"/>
    <w:rsid w:val="0035145E"/>
    <w:rsid w:val="003525B7"/>
    <w:rsid w:val="00352EFA"/>
    <w:rsid w:val="00353017"/>
    <w:rsid w:val="0035419B"/>
    <w:rsid w:val="00361246"/>
    <w:rsid w:val="00361E48"/>
    <w:rsid w:val="003627D5"/>
    <w:rsid w:val="00366F5A"/>
    <w:rsid w:val="00370AD3"/>
    <w:rsid w:val="0038456C"/>
    <w:rsid w:val="00384B97"/>
    <w:rsid w:val="00384BF5"/>
    <w:rsid w:val="00391B44"/>
    <w:rsid w:val="003969FE"/>
    <w:rsid w:val="003A0420"/>
    <w:rsid w:val="003A2130"/>
    <w:rsid w:val="003A6664"/>
    <w:rsid w:val="003A67FE"/>
    <w:rsid w:val="003A70B0"/>
    <w:rsid w:val="003B0896"/>
    <w:rsid w:val="003B1591"/>
    <w:rsid w:val="003B532B"/>
    <w:rsid w:val="003C2990"/>
    <w:rsid w:val="003C3730"/>
    <w:rsid w:val="003C6981"/>
    <w:rsid w:val="003C732C"/>
    <w:rsid w:val="003D050D"/>
    <w:rsid w:val="003D06BA"/>
    <w:rsid w:val="003D088A"/>
    <w:rsid w:val="003D2D73"/>
    <w:rsid w:val="003D2EF7"/>
    <w:rsid w:val="003D3F7A"/>
    <w:rsid w:val="003D6460"/>
    <w:rsid w:val="003D72D2"/>
    <w:rsid w:val="003E0BCC"/>
    <w:rsid w:val="003E23FF"/>
    <w:rsid w:val="003E3946"/>
    <w:rsid w:val="003E3DD6"/>
    <w:rsid w:val="003E3FA5"/>
    <w:rsid w:val="003E4E75"/>
    <w:rsid w:val="003E67EA"/>
    <w:rsid w:val="003F08FB"/>
    <w:rsid w:val="003F2E7B"/>
    <w:rsid w:val="003F411C"/>
    <w:rsid w:val="003F5C56"/>
    <w:rsid w:val="003F6567"/>
    <w:rsid w:val="003F7E09"/>
    <w:rsid w:val="004049C9"/>
    <w:rsid w:val="00405C87"/>
    <w:rsid w:val="00407022"/>
    <w:rsid w:val="004076C6"/>
    <w:rsid w:val="004079BA"/>
    <w:rsid w:val="0041429D"/>
    <w:rsid w:val="00414AD1"/>
    <w:rsid w:val="004153CB"/>
    <w:rsid w:val="00420282"/>
    <w:rsid w:val="00421B45"/>
    <w:rsid w:val="0043787E"/>
    <w:rsid w:val="00442D86"/>
    <w:rsid w:val="00450783"/>
    <w:rsid w:val="00456982"/>
    <w:rsid w:val="00460B14"/>
    <w:rsid w:val="00461845"/>
    <w:rsid w:val="00461DFC"/>
    <w:rsid w:val="00466ADF"/>
    <w:rsid w:val="00471F9E"/>
    <w:rsid w:val="00472BA9"/>
    <w:rsid w:val="00472E2A"/>
    <w:rsid w:val="00475A83"/>
    <w:rsid w:val="00477428"/>
    <w:rsid w:val="0048284F"/>
    <w:rsid w:val="0048395A"/>
    <w:rsid w:val="00483AB9"/>
    <w:rsid w:val="0048456B"/>
    <w:rsid w:val="00485252"/>
    <w:rsid w:val="00485702"/>
    <w:rsid w:val="00486848"/>
    <w:rsid w:val="004874A6"/>
    <w:rsid w:val="004878C5"/>
    <w:rsid w:val="0049063D"/>
    <w:rsid w:val="0049124B"/>
    <w:rsid w:val="00492A8D"/>
    <w:rsid w:val="00492ECE"/>
    <w:rsid w:val="00493045"/>
    <w:rsid w:val="00494B8C"/>
    <w:rsid w:val="00495200"/>
    <w:rsid w:val="004954FF"/>
    <w:rsid w:val="004A1635"/>
    <w:rsid w:val="004A2A8D"/>
    <w:rsid w:val="004A3ECD"/>
    <w:rsid w:val="004A51AE"/>
    <w:rsid w:val="004A767A"/>
    <w:rsid w:val="004A7992"/>
    <w:rsid w:val="004B2156"/>
    <w:rsid w:val="004B2538"/>
    <w:rsid w:val="004B2A8A"/>
    <w:rsid w:val="004B5CA5"/>
    <w:rsid w:val="004C06E4"/>
    <w:rsid w:val="004C1395"/>
    <w:rsid w:val="004C3C9B"/>
    <w:rsid w:val="004C4685"/>
    <w:rsid w:val="004C6549"/>
    <w:rsid w:val="004C6DF1"/>
    <w:rsid w:val="004D06FC"/>
    <w:rsid w:val="004D08C9"/>
    <w:rsid w:val="004D10E1"/>
    <w:rsid w:val="004D17A1"/>
    <w:rsid w:val="004D348F"/>
    <w:rsid w:val="004D575D"/>
    <w:rsid w:val="004D69FA"/>
    <w:rsid w:val="004E119D"/>
    <w:rsid w:val="004E1218"/>
    <w:rsid w:val="004E59D0"/>
    <w:rsid w:val="004F03BF"/>
    <w:rsid w:val="004F0472"/>
    <w:rsid w:val="004F073F"/>
    <w:rsid w:val="004F24C6"/>
    <w:rsid w:val="004F3E7B"/>
    <w:rsid w:val="004F63BF"/>
    <w:rsid w:val="005034F9"/>
    <w:rsid w:val="00504545"/>
    <w:rsid w:val="00505D38"/>
    <w:rsid w:val="00512062"/>
    <w:rsid w:val="005123A5"/>
    <w:rsid w:val="00514B2E"/>
    <w:rsid w:val="00514E57"/>
    <w:rsid w:val="00515870"/>
    <w:rsid w:val="00515BC3"/>
    <w:rsid w:val="0051739F"/>
    <w:rsid w:val="005179B9"/>
    <w:rsid w:val="00527520"/>
    <w:rsid w:val="005305D3"/>
    <w:rsid w:val="005305E1"/>
    <w:rsid w:val="00532C39"/>
    <w:rsid w:val="005345B3"/>
    <w:rsid w:val="00534FC5"/>
    <w:rsid w:val="00535D77"/>
    <w:rsid w:val="00542D84"/>
    <w:rsid w:val="0054355B"/>
    <w:rsid w:val="00544D00"/>
    <w:rsid w:val="00547686"/>
    <w:rsid w:val="005519A6"/>
    <w:rsid w:val="00560709"/>
    <w:rsid w:val="0056079D"/>
    <w:rsid w:val="00560D5E"/>
    <w:rsid w:val="00562651"/>
    <w:rsid w:val="0056417A"/>
    <w:rsid w:val="00565E91"/>
    <w:rsid w:val="00573627"/>
    <w:rsid w:val="00575229"/>
    <w:rsid w:val="00575DDE"/>
    <w:rsid w:val="00580DB6"/>
    <w:rsid w:val="00581A76"/>
    <w:rsid w:val="00582FF6"/>
    <w:rsid w:val="00586F2A"/>
    <w:rsid w:val="00590628"/>
    <w:rsid w:val="005912C9"/>
    <w:rsid w:val="00595A60"/>
    <w:rsid w:val="005A00E8"/>
    <w:rsid w:val="005A1A29"/>
    <w:rsid w:val="005A2F77"/>
    <w:rsid w:val="005A57EE"/>
    <w:rsid w:val="005B0C4D"/>
    <w:rsid w:val="005B1802"/>
    <w:rsid w:val="005B7A30"/>
    <w:rsid w:val="005C1822"/>
    <w:rsid w:val="005C22CF"/>
    <w:rsid w:val="005C7114"/>
    <w:rsid w:val="005D07FB"/>
    <w:rsid w:val="005D1A00"/>
    <w:rsid w:val="005D32C1"/>
    <w:rsid w:val="005D5877"/>
    <w:rsid w:val="005E1022"/>
    <w:rsid w:val="005E1C61"/>
    <w:rsid w:val="005E3556"/>
    <w:rsid w:val="005E523C"/>
    <w:rsid w:val="005E5C55"/>
    <w:rsid w:val="005E6CAB"/>
    <w:rsid w:val="005F1039"/>
    <w:rsid w:val="005F2766"/>
    <w:rsid w:val="005F4809"/>
    <w:rsid w:val="005F517F"/>
    <w:rsid w:val="005F5812"/>
    <w:rsid w:val="005F5B8B"/>
    <w:rsid w:val="005F60B0"/>
    <w:rsid w:val="005F65E3"/>
    <w:rsid w:val="005F6A28"/>
    <w:rsid w:val="0060116E"/>
    <w:rsid w:val="00602B9D"/>
    <w:rsid w:val="00602E99"/>
    <w:rsid w:val="00604B97"/>
    <w:rsid w:val="00605269"/>
    <w:rsid w:val="006061F4"/>
    <w:rsid w:val="006074A4"/>
    <w:rsid w:val="00607F4C"/>
    <w:rsid w:val="00610788"/>
    <w:rsid w:val="006135E7"/>
    <w:rsid w:val="00614B6C"/>
    <w:rsid w:val="00615215"/>
    <w:rsid w:val="006164AE"/>
    <w:rsid w:val="0061676C"/>
    <w:rsid w:val="00623BD6"/>
    <w:rsid w:val="0062450A"/>
    <w:rsid w:val="00624912"/>
    <w:rsid w:val="00630413"/>
    <w:rsid w:val="00630E87"/>
    <w:rsid w:val="00636085"/>
    <w:rsid w:val="006376CC"/>
    <w:rsid w:val="006378ED"/>
    <w:rsid w:val="0064459F"/>
    <w:rsid w:val="00645B29"/>
    <w:rsid w:val="00654EF2"/>
    <w:rsid w:val="006552CB"/>
    <w:rsid w:val="00660442"/>
    <w:rsid w:val="00660C2F"/>
    <w:rsid w:val="006618F8"/>
    <w:rsid w:val="00671E92"/>
    <w:rsid w:val="006732B4"/>
    <w:rsid w:val="00673623"/>
    <w:rsid w:val="00673B5D"/>
    <w:rsid w:val="0068619D"/>
    <w:rsid w:val="00686A6D"/>
    <w:rsid w:val="00690D75"/>
    <w:rsid w:val="00690EDA"/>
    <w:rsid w:val="00694057"/>
    <w:rsid w:val="00694BA8"/>
    <w:rsid w:val="00694D3D"/>
    <w:rsid w:val="00694DA2"/>
    <w:rsid w:val="00695FD6"/>
    <w:rsid w:val="006968CE"/>
    <w:rsid w:val="00696954"/>
    <w:rsid w:val="00696B7F"/>
    <w:rsid w:val="006A17FB"/>
    <w:rsid w:val="006A197D"/>
    <w:rsid w:val="006A2965"/>
    <w:rsid w:val="006A30E7"/>
    <w:rsid w:val="006A3C23"/>
    <w:rsid w:val="006A5079"/>
    <w:rsid w:val="006A5405"/>
    <w:rsid w:val="006A6C19"/>
    <w:rsid w:val="006A7DCB"/>
    <w:rsid w:val="006B411A"/>
    <w:rsid w:val="006B65D0"/>
    <w:rsid w:val="006C0766"/>
    <w:rsid w:val="006C1DE4"/>
    <w:rsid w:val="006C53CC"/>
    <w:rsid w:val="006C5492"/>
    <w:rsid w:val="006D05A7"/>
    <w:rsid w:val="006D23D2"/>
    <w:rsid w:val="006D2FA2"/>
    <w:rsid w:val="006D4E58"/>
    <w:rsid w:val="006D533B"/>
    <w:rsid w:val="006D5A42"/>
    <w:rsid w:val="006E4487"/>
    <w:rsid w:val="006F1078"/>
    <w:rsid w:val="006F2118"/>
    <w:rsid w:val="006F4482"/>
    <w:rsid w:val="00700B8A"/>
    <w:rsid w:val="00701E70"/>
    <w:rsid w:val="0070309A"/>
    <w:rsid w:val="0071070B"/>
    <w:rsid w:val="00713839"/>
    <w:rsid w:val="00714658"/>
    <w:rsid w:val="0071591B"/>
    <w:rsid w:val="00715A2B"/>
    <w:rsid w:val="007175F1"/>
    <w:rsid w:val="00717A71"/>
    <w:rsid w:val="007232DF"/>
    <w:rsid w:val="0072391C"/>
    <w:rsid w:val="00723DCA"/>
    <w:rsid w:val="00726C09"/>
    <w:rsid w:val="00727820"/>
    <w:rsid w:val="0073407B"/>
    <w:rsid w:val="00736BE3"/>
    <w:rsid w:val="00740192"/>
    <w:rsid w:val="0074420B"/>
    <w:rsid w:val="007453D2"/>
    <w:rsid w:val="0074562C"/>
    <w:rsid w:val="00746791"/>
    <w:rsid w:val="00746B30"/>
    <w:rsid w:val="00747A57"/>
    <w:rsid w:val="00750C2F"/>
    <w:rsid w:val="0075101F"/>
    <w:rsid w:val="00754BCC"/>
    <w:rsid w:val="00761F6F"/>
    <w:rsid w:val="0076791B"/>
    <w:rsid w:val="00771716"/>
    <w:rsid w:val="007727D2"/>
    <w:rsid w:val="00774005"/>
    <w:rsid w:val="00774131"/>
    <w:rsid w:val="0077506B"/>
    <w:rsid w:val="00775B1B"/>
    <w:rsid w:val="00775CF6"/>
    <w:rsid w:val="00775EEB"/>
    <w:rsid w:val="00776794"/>
    <w:rsid w:val="00777DA6"/>
    <w:rsid w:val="00782CD2"/>
    <w:rsid w:val="007837C9"/>
    <w:rsid w:val="00785EDA"/>
    <w:rsid w:val="00786719"/>
    <w:rsid w:val="00791D10"/>
    <w:rsid w:val="00794209"/>
    <w:rsid w:val="0079515A"/>
    <w:rsid w:val="00795FA4"/>
    <w:rsid w:val="00797CDA"/>
    <w:rsid w:val="007A3759"/>
    <w:rsid w:val="007A7B62"/>
    <w:rsid w:val="007B0AF3"/>
    <w:rsid w:val="007B1D02"/>
    <w:rsid w:val="007B21B2"/>
    <w:rsid w:val="007B23EE"/>
    <w:rsid w:val="007B361B"/>
    <w:rsid w:val="007B5D18"/>
    <w:rsid w:val="007B64CE"/>
    <w:rsid w:val="007C65C0"/>
    <w:rsid w:val="007D1964"/>
    <w:rsid w:val="007D3A2D"/>
    <w:rsid w:val="007D5FB2"/>
    <w:rsid w:val="007D75DC"/>
    <w:rsid w:val="007E0560"/>
    <w:rsid w:val="007E0F1B"/>
    <w:rsid w:val="007E1255"/>
    <w:rsid w:val="007E1DD1"/>
    <w:rsid w:val="007E4188"/>
    <w:rsid w:val="007E481A"/>
    <w:rsid w:val="007E5812"/>
    <w:rsid w:val="007F1E78"/>
    <w:rsid w:val="007F1EC2"/>
    <w:rsid w:val="007F2BEE"/>
    <w:rsid w:val="007F48F1"/>
    <w:rsid w:val="007F5CCE"/>
    <w:rsid w:val="007F6561"/>
    <w:rsid w:val="007F7F1D"/>
    <w:rsid w:val="008005E2"/>
    <w:rsid w:val="00800E3A"/>
    <w:rsid w:val="0080206F"/>
    <w:rsid w:val="008023C2"/>
    <w:rsid w:val="008052C5"/>
    <w:rsid w:val="008054F8"/>
    <w:rsid w:val="00807A69"/>
    <w:rsid w:val="00810F7A"/>
    <w:rsid w:val="00811544"/>
    <w:rsid w:val="00811CA1"/>
    <w:rsid w:val="008130A8"/>
    <w:rsid w:val="00816DCD"/>
    <w:rsid w:val="00824CC0"/>
    <w:rsid w:val="008267C8"/>
    <w:rsid w:val="00830AF9"/>
    <w:rsid w:val="00830E8B"/>
    <w:rsid w:val="00832E87"/>
    <w:rsid w:val="00842E62"/>
    <w:rsid w:val="00844966"/>
    <w:rsid w:val="00844C17"/>
    <w:rsid w:val="0084567E"/>
    <w:rsid w:val="008464AA"/>
    <w:rsid w:val="008511B0"/>
    <w:rsid w:val="00851DAB"/>
    <w:rsid w:val="00853F79"/>
    <w:rsid w:val="00873CFF"/>
    <w:rsid w:val="00873E1D"/>
    <w:rsid w:val="00873FEB"/>
    <w:rsid w:val="00876550"/>
    <w:rsid w:val="00876EE6"/>
    <w:rsid w:val="00884B59"/>
    <w:rsid w:val="00885BA0"/>
    <w:rsid w:val="0088732E"/>
    <w:rsid w:val="00887827"/>
    <w:rsid w:val="00890FD6"/>
    <w:rsid w:val="00892531"/>
    <w:rsid w:val="00895008"/>
    <w:rsid w:val="00897401"/>
    <w:rsid w:val="00897788"/>
    <w:rsid w:val="00897B68"/>
    <w:rsid w:val="008A23D4"/>
    <w:rsid w:val="008A3AB8"/>
    <w:rsid w:val="008A3D9D"/>
    <w:rsid w:val="008A40F8"/>
    <w:rsid w:val="008A6342"/>
    <w:rsid w:val="008A6C05"/>
    <w:rsid w:val="008B24FB"/>
    <w:rsid w:val="008B3E29"/>
    <w:rsid w:val="008B4D2E"/>
    <w:rsid w:val="008B54B0"/>
    <w:rsid w:val="008B5E53"/>
    <w:rsid w:val="008B6679"/>
    <w:rsid w:val="008B6E87"/>
    <w:rsid w:val="008B70EC"/>
    <w:rsid w:val="008C1183"/>
    <w:rsid w:val="008C1D28"/>
    <w:rsid w:val="008C2ABA"/>
    <w:rsid w:val="008C31E9"/>
    <w:rsid w:val="008C4798"/>
    <w:rsid w:val="008C6806"/>
    <w:rsid w:val="008C6EBC"/>
    <w:rsid w:val="008C7788"/>
    <w:rsid w:val="008E11D7"/>
    <w:rsid w:val="008E14CA"/>
    <w:rsid w:val="008E2C19"/>
    <w:rsid w:val="008E3315"/>
    <w:rsid w:val="008E3A75"/>
    <w:rsid w:val="008E4A6F"/>
    <w:rsid w:val="008E5E75"/>
    <w:rsid w:val="008E7C75"/>
    <w:rsid w:val="008F16B7"/>
    <w:rsid w:val="008F227F"/>
    <w:rsid w:val="008F45B1"/>
    <w:rsid w:val="008F4ED2"/>
    <w:rsid w:val="00903F2C"/>
    <w:rsid w:val="00914F11"/>
    <w:rsid w:val="009172CF"/>
    <w:rsid w:val="00921ABA"/>
    <w:rsid w:val="00926501"/>
    <w:rsid w:val="00926542"/>
    <w:rsid w:val="0092705E"/>
    <w:rsid w:val="00930C41"/>
    <w:rsid w:val="009321DB"/>
    <w:rsid w:val="00932BFE"/>
    <w:rsid w:val="00932C88"/>
    <w:rsid w:val="00932FC6"/>
    <w:rsid w:val="009331D9"/>
    <w:rsid w:val="00933669"/>
    <w:rsid w:val="00933A94"/>
    <w:rsid w:val="00933F56"/>
    <w:rsid w:val="00936F65"/>
    <w:rsid w:val="009372FE"/>
    <w:rsid w:val="00937862"/>
    <w:rsid w:val="00942A5E"/>
    <w:rsid w:val="00943880"/>
    <w:rsid w:val="0094759E"/>
    <w:rsid w:val="00953F57"/>
    <w:rsid w:val="0095478D"/>
    <w:rsid w:val="00955ABD"/>
    <w:rsid w:val="0096419A"/>
    <w:rsid w:val="0097229E"/>
    <w:rsid w:val="0097241C"/>
    <w:rsid w:val="009750E5"/>
    <w:rsid w:val="009760DC"/>
    <w:rsid w:val="00977621"/>
    <w:rsid w:val="009830A2"/>
    <w:rsid w:val="009832DF"/>
    <w:rsid w:val="009833BD"/>
    <w:rsid w:val="009846E8"/>
    <w:rsid w:val="009856EC"/>
    <w:rsid w:val="0099113D"/>
    <w:rsid w:val="00991A0F"/>
    <w:rsid w:val="00994DEF"/>
    <w:rsid w:val="00995260"/>
    <w:rsid w:val="00995712"/>
    <w:rsid w:val="00996914"/>
    <w:rsid w:val="009A02D5"/>
    <w:rsid w:val="009A39E2"/>
    <w:rsid w:val="009A6559"/>
    <w:rsid w:val="009A683C"/>
    <w:rsid w:val="009A6B95"/>
    <w:rsid w:val="009A7A3F"/>
    <w:rsid w:val="009B1A61"/>
    <w:rsid w:val="009B3488"/>
    <w:rsid w:val="009B73BB"/>
    <w:rsid w:val="009C024C"/>
    <w:rsid w:val="009C1733"/>
    <w:rsid w:val="009C19A5"/>
    <w:rsid w:val="009C2A51"/>
    <w:rsid w:val="009C329B"/>
    <w:rsid w:val="009C3FA4"/>
    <w:rsid w:val="009C65D3"/>
    <w:rsid w:val="009C6743"/>
    <w:rsid w:val="009C7196"/>
    <w:rsid w:val="009C77AA"/>
    <w:rsid w:val="009E02ED"/>
    <w:rsid w:val="009E0D6E"/>
    <w:rsid w:val="009E10C9"/>
    <w:rsid w:val="009E153E"/>
    <w:rsid w:val="009E4B5B"/>
    <w:rsid w:val="009E4E34"/>
    <w:rsid w:val="009E63F3"/>
    <w:rsid w:val="009F0A77"/>
    <w:rsid w:val="009F1172"/>
    <w:rsid w:val="009F167A"/>
    <w:rsid w:val="009F1F1A"/>
    <w:rsid w:val="009F41DA"/>
    <w:rsid w:val="009F7EA8"/>
    <w:rsid w:val="00A035EA"/>
    <w:rsid w:val="00A05392"/>
    <w:rsid w:val="00A069B1"/>
    <w:rsid w:val="00A07F1A"/>
    <w:rsid w:val="00A101E9"/>
    <w:rsid w:val="00A124EA"/>
    <w:rsid w:val="00A1309F"/>
    <w:rsid w:val="00A15BCB"/>
    <w:rsid w:val="00A1722C"/>
    <w:rsid w:val="00A207EB"/>
    <w:rsid w:val="00A236F4"/>
    <w:rsid w:val="00A331AA"/>
    <w:rsid w:val="00A341F0"/>
    <w:rsid w:val="00A3569F"/>
    <w:rsid w:val="00A35877"/>
    <w:rsid w:val="00A35F6B"/>
    <w:rsid w:val="00A4218D"/>
    <w:rsid w:val="00A42B94"/>
    <w:rsid w:val="00A472C4"/>
    <w:rsid w:val="00A51ACA"/>
    <w:rsid w:val="00A526DB"/>
    <w:rsid w:val="00A55297"/>
    <w:rsid w:val="00A56234"/>
    <w:rsid w:val="00A574F0"/>
    <w:rsid w:val="00A604A3"/>
    <w:rsid w:val="00A61C30"/>
    <w:rsid w:val="00A61FFB"/>
    <w:rsid w:val="00A63537"/>
    <w:rsid w:val="00A82F37"/>
    <w:rsid w:val="00A830BA"/>
    <w:rsid w:val="00A833A7"/>
    <w:rsid w:val="00A8539B"/>
    <w:rsid w:val="00A85D16"/>
    <w:rsid w:val="00A913E7"/>
    <w:rsid w:val="00A9294B"/>
    <w:rsid w:val="00A938A6"/>
    <w:rsid w:val="00A971BC"/>
    <w:rsid w:val="00AA037A"/>
    <w:rsid w:val="00AA2C18"/>
    <w:rsid w:val="00AA5CC1"/>
    <w:rsid w:val="00AB03CB"/>
    <w:rsid w:val="00AB07F1"/>
    <w:rsid w:val="00AB5EF3"/>
    <w:rsid w:val="00AB66EE"/>
    <w:rsid w:val="00AB7806"/>
    <w:rsid w:val="00AC03F3"/>
    <w:rsid w:val="00AC0AFD"/>
    <w:rsid w:val="00AC1502"/>
    <w:rsid w:val="00AC32F0"/>
    <w:rsid w:val="00AC6460"/>
    <w:rsid w:val="00AC7FA5"/>
    <w:rsid w:val="00AD0AFF"/>
    <w:rsid w:val="00AD0BED"/>
    <w:rsid w:val="00AD35FB"/>
    <w:rsid w:val="00AD6056"/>
    <w:rsid w:val="00AD6EE2"/>
    <w:rsid w:val="00AD7A39"/>
    <w:rsid w:val="00AE14BA"/>
    <w:rsid w:val="00AE4322"/>
    <w:rsid w:val="00AE4A7D"/>
    <w:rsid w:val="00AE6D93"/>
    <w:rsid w:val="00AF011E"/>
    <w:rsid w:val="00AF332E"/>
    <w:rsid w:val="00AF33F7"/>
    <w:rsid w:val="00AF4089"/>
    <w:rsid w:val="00AF4FE0"/>
    <w:rsid w:val="00AF57FF"/>
    <w:rsid w:val="00AF6B5F"/>
    <w:rsid w:val="00B02EB9"/>
    <w:rsid w:val="00B121AD"/>
    <w:rsid w:val="00B137FC"/>
    <w:rsid w:val="00B13B01"/>
    <w:rsid w:val="00B13B04"/>
    <w:rsid w:val="00B147CB"/>
    <w:rsid w:val="00B15B9F"/>
    <w:rsid w:val="00B16C88"/>
    <w:rsid w:val="00B16E01"/>
    <w:rsid w:val="00B20931"/>
    <w:rsid w:val="00B21722"/>
    <w:rsid w:val="00B25133"/>
    <w:rsid w:val="00B25F8F"/>
    <w:rsid w:val="00B304BE"/>
    <w:rsid w:val="00B31D0C"/>
    <w:rsid w:val="00B35F78"/>
    <w:rsid w:val="00B37F35"/>
    <w:rsid w:val="00B37F50"/>
    <w:rsid w:val="00B41E86"/>
    <w:rsid w:val="00B42160"/>
    <w:rsid w:val="00B436F6"/>
    <w:rsid w:val="00B43AB4"/>
    <w:rsid w:val="00B46676"/>
    <w:rsid w:val="00B47766"/>
    <w:rsid w:val="00B512D5"/>
    <w:rsid w:val="00B5634C"/>
    <w:rsid w:val="00B57B45"/>
    <w:rsid w:val="00B601BB"/>
    <w:rsid w:val="00B60238"/>
    <w:rsid w:val="00B63300"/>
    <w:rsid w:val="00B66C2E"/>
    <w:rsid w:val="00B66E6E"/>
    <w:rsid w:val="00B676EA"/>
    <w:rsid w:val="00B715D6"/>
    <w:rsid w:val="00B749B6"/>
    <w:rsid w:val="00B74D84"/>
    <w:rsid w:val="00B76C0C"/>
    <w:rsid w:val="00B803FC"/>
    <w:rsid w:val="00B9132E"/>
    <w:rsid w:val="00B9215D"/>
    <w:rsid w:val="00B9374C"/>
    <w:rsid w:val="00B93D0B"/>
    <w:rsid w:val="00B94B25"/>
    <w:rsid w:val="00B9532F"/>
    <w:rsid w:val="00BA3371"/>
    <w:rsid w:val="00BA49F9"/>
    <w:rsid w:val="00BA52E3"/>
    <w:rsid w:val="00BA7197"/>
    <w:rsid w:val="00BB334A"/>
    <w:rsid w:val="00BB555E"/>
    <w:rsid w:val="00BB61D6"/>
    <w:rsid w:val="00BB64E5"/>
    <w:rsid w:val="00BC1007"/>
    <w:rsid w:val="00BC12F2"/>
    <w:rsid w:val="00BC15CC"/>
    <w:rsid w:val="00BC1FBA"/>
    <w:rsid w:val="00BC247F"/>
    <w:rsid w:val="00BD00AB"/>
    <w:rsid w:val="00BD4320"/>
    <w:rsid w:val="00BD4BB2"/>
    <w:rsid w:val="00BD6C81"/>
    <w:rsid w:val="00BE01E6"/>
    <w:rsid w:val="00BE134F"/>
    <w:rsid w:val="00BE165A"/>
    <w:rsid w:val="00BE37A2"/>
    <w:rsid w:val="00BE497A"/>
    <w:rsid w:val="00BF4ADD"/>
    <w:rsid w:val="00BF5711"/>
    <w:rsid w:val="00C0523B"/>
    <w:rsid w:val="00C10E7C"/>
    <w:rsid w:val="00C116AC"/>
    <w:rsid w:val="00C11CE9"/>
    <w:rsid w:val="00C20152"/>
    <w:rsid w:val="00C20D4A"/>
    <w:rsid w:val="00C216E4"/>
    <w:rsid w:val="00C22029"/>
    <w:rsid w:val="00C238AB"/>
    <w:rsid w:val="00C23C6B"/>
    <w:rsid w:val="00C24D92"/>
    <w:rsid w:val="00C25227"/>
    <w:rsid w:val="00C26967"/>
    <w:rsid w:val="00C26980"/>
    <w:rsid w:val="00C32EB3"/>
    <w:rsid w:val="00C33EA0"/>
    <w:rsid w:val="00C36926"/>
    <w:rsid w:val="00C378B3"/>
    <w:rsid w:val="00C406CD"/>
    <w:rsid w:val="00C40913"/>
    <w:rsid w:val="00C46ECE"/>
    <w:rsid w:val="00C4746C"/>
    <w:rsid w:val="00C53CF7"/>
    <w:rsid w:val="00C5527F"/>
    <w:rsid w:val="00C575F7"/>
    <w:rsid w:val="00C57E4F"/>
    <w:rsid w:val="00C61CEC"/>
    <w:rsid w:val="00C63C56"/>
    <w:rsid w:val="00C63F61"/>
    <w:rsid w:val="00C67C47"/>
    <w:rsid w:val="00C70128"/>
    <w:rsid w:val="00C7075E"/>
    <w:rsid w:val="00C709F3"/>
    <w:rsid w:val="00C7302C"/>
    <w:rsid w:val="00C76E20"/>
    <w:rsid w:val="00C7762F"/>
    <w:rsid w:val="00C81B34"/>
    <w:rsid w:val="00C83B99"/>
    <w:rsid w:val="00C849AC"/>
    <w:rsid w:val="00C84F2D"/>
    <w:rsid w:val="00C87E80"/>
    <w:rsid w:val="00C939A3"/>
    <w:rsid w:val="00C9405D"/>
    <w:rsid w:val="00C94C47"/>
    <w:rsid w:val="00C96792"/>
    <w:rsid w:val="00CA2EB2"/>
    <w:rsid w:val="00CA757A"/>
    <w:rsid w:val="00CA7930"/>
    <w:rsid w:val="00CB131A"/>
    <w:rsid w:val="00CB202E"/>
    <w:rsid w:val="00CB25D2"/>
    <w:rsid w:val="00CB33E2"/>
    <w:rsid w:val="00CB4274"/>
    <w:rsid w:val="00CB4460"/>
    <w:rsid w:val="00CC15AA"/>
    <w:rsid w:val="00CC1A73"/>
    <w:rsid w:val="00CC25DE"/>
    <w:rsid w:val="00CC278D"/>
    <w:rsid w:val="00CC27B7"/>
    <w:rsid w:val="00CC439D"/>
    <w:rsid w:val="00CC47D9"/>
    <w:rsid w:val="00CC483C"/>
    <w:rsid w:val="00CD0AB3"/>
    <w:rsid w:val="00CD3BD9"/>
    <w:rsid w:val="00CD716A"/>
    <w:rsid w:val="00CD73CB"/>
    <w:rsid w:val="00CD7439"/>
    <w:rsid w:val="00CE02E1"/>
    <w:rsid w:val="00CE1883"/>
    <w:rsid w:val="00CF02AE"/>
    <w:rsid w:val="00CF387E"/>
    <w:rsid w:val="00CF4094"/>
    <w:rsid w:val="00CF43B7"/>
    <w:rsid w:val="00CF499B"/>
    <w:rsid w:val="00CF5C3E"/>
    <w:rsid w:val="00CF7256"/>
    <w:rsid w:val="00D00C49"/>
    <w:rsid w:val="00D01735"/>
    <w:rsid w:val="00D10DBB"/>
    <w:rsid w:val="00D132CF"/>
    <w:rsid w:val="00D17F75"/>
    <w:rsid w:val="00D20C40"/>
    <w:rsid w:val="00D213AB"/>
    <w:rsid w:val="00D271B6"/>
    <w:rsid w:val="00D328C8"/>
    <w:rsid w:val="00D33F5A"/>
    <w:rsid w:val="00D348D2"/>
    <w:rsid w:val="00D34D44"/>
    <w:rsid w:val="00D403D0"/>
    <w:rsid w:val="00D43477"/>
    <w:rsid w:val="00D44FA9"/>
    <w:rsid w:val="00D4641D"/>
    <w:rsid w:val="00D47D71"/>
    <w:rsid w:val="00D50BE7"/>
    <w:rsid w:val="00D53791"/>
    <w:rsid w:val="00D5419C"/>
    <w:rsid w:val="00D549EF"/>
    <w:rsid w:val="00D554E1"/>
    <w:rsid w:val="00D56141"/>
    <w:rsid w:val="00D60DDE"/>
    <w:rsid w:val="00D614DD"/>
    <w:rsid w:val="00D62170"/>
    <w:rsid w:val="00D6227E"/>
    <w:rsid w:val="00D622D1"/>
    <w:rsid w:val="00D64E13"/>
    <w:rsid w:val="00D65F60"/>
    <w:rsid w:val="00D671DC"/>
    <w:rsid w:val="00D67618"/>
    <w:rsid w:val="00D75BF6"/>
    <w:rsid w:val="00D75F23"/>
    <w:rsid w:val="00D83082"/>
    <w:rsid w:val="00D8590E"/>
    <w:rsid w:val="00D85AB3"/>
    <w:rsid w:val="00D872EE"/>
    <w:rsid w:val="00D921AE"/>
    <w:rsid w:val="00D92662"/>
    <w:rsid w:val="00D92C38"/>
    <w:rsid w:val="00D94D17"/>
    <w:rsid w:val="00D95F73"/>
    <w:rsid w:val="00D971F4"/>
    <w:rsid w:val="00D9776A"/>
    <w:rsid w:val="00D97F05"/>
    <w:rsid w:val="00DA1F09"/>
    <w:rsid w:val="00DA3497"/>
    <w:rsid w:val="00DB05C4"/>
    <w:rsid w:val="00DB1D20"/>
    <w:rsid w:val="00DB33BF"/>
    <w:rsid w:val="00DB62A4"/>
    <w:rsid w:val="00DB6CAB"/>
    <w:rsid w:val="00DC0937"/>
    <w:rsid w:val="00DC2D77"/>
    <w:rsid w:val="00DC3A87"/>
    <w:rsid w:val="00DC4BD3"/>
    <w:rsid w:val="00DD0480"/>
    <w:rsid w:val="00DD061F"/>
    <w:rsid w:val="00DD14DB"/>
    <w:rsid w:val="00DD191F"/>
    <w:rsid w:val="00DD192D"/>
    <w:rsid w:val="00DD292A"/>
    <w:rsid w:val="00DD3550"/>
    <w:rsid w:val="00DE156A"/>
    <w:rsid w:val="00DE3552"/>
    <w:rsid w:val="00DE36BC"/>
    <w:rsid w:val="00DF19F0"/>
    <w:rsid w:val="00DF20C4"/>
    <w:rsid w:val="00DF2950"/>
    <w:rsid w:val="00DF2ED4"/>
    <w:rsid w:val="00DF35AD"/>
    <w:rsid w:val="00DF3B14"/>
    <w:rsid w:val="00DF659D"/>
    <w:rsid w:val="00DF795B"/>
    <w:rsid w:val="00DF7F74"/>
    <w:rsid w:val="00E0375F"/>
    <w:rsid w:val="00E05712"/>
    <w:rsid w:val="00E07D10"/>
    <w:rsid w:val="00E11175"/>
    <w:rsid w:val="00E1148B"/>
    <w:rsid w:val="00E11701"/>
    <w:rsid w:val="00E14069"/>
    <w:rsid w:val="00E15B2C"/>
    <w:rsid w:val="00E20B57"/>
    <w:rsid w:val="00E25F03"/>
    <w:rsid w:val="00E309E0"/>
    <w:rsid w:val="00E31C6E"/>
    <w:rsid w:val="00E329C5"/>
    <w:rsid w:val="00E33A68"/>
    <w:rsid w:val="00E344A0"/>
    <w:rsid w:val="00E34635"/>
    <w:rsid w:val="00E34D84"/>
    <w:rsid w:val="00E378BB"/>
    <w:rsid w:val="00E37AD1"/>
    <w:rsid w:val="00E37BAD"/>
    <w:rsid w:val="00E41573"/>
    <w:rsid w:val="00E41FB8"/>
    <w:rsid w:val="00E4346E"/>
    <w:rsid w:val="00E44319"/>
    <w:rsid w:val="00E4621B"/>
    <w:rsid w:val="00E46B95"/>
    <w:rsid w:val="00E54B4F"/>
    <w:rsid w:val="00E56444"/>
    <w:rsid w:val="00E6191B"/>
    <w:rsid w:val="00E66E44"/>
    <w:rsid w:val="00E70641"/>
    <w:rsid w:val="00E70A02"/>
    <w:rsid w:val="00E715E8"/>
    <w:rsid w:val="00E75B8B"/>
    <w:rsid w:val="00E77095"/>
    <w:rsid w:val="00E80780"/>
    <w:rsid w:val="00E8277E"/>
    <w:rsid w:val="00E83F9F"/>
    <w:rsid w:val="00E864F2"/>
    <w:rsid w:val="00E920D1"/>
    <w:rsid w:val="00E93307"/>
    <w:rsid w:val="00E93982"/>
    <w:rsid w:val="00E94353"/>
    <w:rsid w:val="00E96F59"/>
    <w:rsid w:val="00EA014B"/>
    <w:rsid w:val="00EA0CEB"/>
    <w:rsid w:val="00EA0F47"/>
    <w:rsid w:val="00EA1D97"/>
    <w:rsid w:val="00EA2D23"/>
    <w:rsid w:val="00EA35C3"/>
    <w:rsid w:val="00EA38C7"/>
    <w:rsid w:val="00EB08E8"/>
    <w:rsid w:val="00EB1557"/>
    <w:rsid w:val="00EB18EF"/>
    <w:rsid w:val="00EB4569"/>
    <w:rsid w:val="00EB4CC7"/>
    <w:rsid w:val="00EB67EC"/>
    <w:rsid w:val="00EB69E8"/>
    <w:rsid w:val="00EC0B0F"/>
    <w:rsid w:val="00EC69FD"/>
    <w:rsid w:val="00EC721C"/>
    <w:rsid w:val="00EC745A"/>
    <w:rsid w:val="00EC77D0"/>
    <w:rsid w:val="00EC7A8D"/>
    <w:rsid w:val="00ED3648"/>
    <w:rsid w:val="00ED6627"/>
    <w:rsid w:val="00ED6F31"/>
    <w:rsid w:val="00EE157E"/>
    <w:rsid w:val="00EE4DC4"/>
    <w:rsid w:val="00EE580F"/>
    <w:rsid w:val="00EE619B"/>
    <w:rsid w:val="00EE792A"/>
    <w:rsid w:val="00EF014D"/>
    <w:rsid w:val="00EF0279"/>
    <w:rsid w:val="00EF035D"/>
    <w:rsid w:val="00EF2900"/>
    <w:rsid w:val="00EF5F78"/>
    <w:rsid w:val="00EF6AEB"/>
    <w:rsid w:val="00EF75AF"/>
    <w:rsid w:val="00EF7B2B"/>
    <w:rsid w:val="00F00217"/>
    <w:rsid w:val="00F00757"/>
    <w:rsid w:val="00F04263"/>
    <w:rsid w:val="00F0572B"/>
    <w:rsid w:val="00F06A30"/>
    <w:rsid w:val="00F10170"/>
    <w:rsid w:val="00F11FBA"/>
    <w:rsid w:val="00F15F46"/>
    <w:rsid w:val="00F16E68"/>
    <w:rsid w:val="00F17840"/>
    <w:rsid w:val="00F2016C"/>
    <w:rsid w:val="00F20F78"/>
    <w:rsid w:val="00F2253B"/>
    <w:rsid w:val="00F2501D"/>
    <w:rsid w:val="00F2538B"/>
    <w:rsid w:val="00F255BD"/>
    <w:rsid w:val="00F26DFF"/>
    <w:rsid w:val="00F27F0A"/>
    <w:rsid w:val="00F307A8"/>
    <w:rsid w:val="00F328DC"/>
    <w:rsid w:val="00F3428B"/>
    <w:rsid w:val="00F35E6F"/>
    <w:rsid w:val="00F37A14"/>
    <w:rsid w:val="00F440E5"/>
    <w:rsid w:val="00F44A97"/>
    <w:rsid w:val="00F45CD3"/>
    <w:rsid w:val="00F45F75"/>
    <w:rsid w:val="00F464B7"/>
    <w:rsid w:val="00F4670C"/>
    <w:rsid w:val="00F470AC"/>
    <w:rsid w:val="00F4751E"/>
    <w:rsid w:val="00F478B9"/>
    <w:rsid w:val="00F5426A"/>
    <w:rsid w:val="00F54B19"/>
    <w:rsid w:val="00F54C3A"/>
    <w:rsid w:val="00F552A9"/>
    <w:rsid w:val="00F559DE"/>
    <w:rsid w:val="00F630B5"/>
    <w:rsid w:val="00F63757"/>
    <w:rsid w:val="00F64EE1"/>
    <w:rsid w:val="00F6527D"/>
    <w:rsid w:val="00F71603"/>
    <w:rsid w:val="00F72A7B"/>
    <w:rsid w:val="00F735C2"/>
    <w:rsid w:val="00F74604"/>
    <w:rsid w:val="00F76D8E"/>
    <w:rsid w:val="00F80A27"/>
    <w:rsid w:val="00F80F07"/>
    <w:rsid w:val="00F84A0D"/>
    <w:rsid w:val="00F91676"/>
    <w:rsid w:val="00F93634"/>
    <w:rsid w:val="00F96388"/>
    <w:rsid w:val="00F97C5B"/>
    <w:rsid w:val="00FA08A1"/>
    <w:rsid w:val="00FA0F26"/>
    <w:rsid w:val="00FA264A"/>
    <w:rsid w:val="00FB009A"/>
    <w:rsid w:val="00FB0D20"/>
    <w:rsid w:val="00FB1402"/>
    <w:rsid w:val="00FB1A87"/>
    <w:rsid w:val="00FB27EF"/>
    <w:rsid w:val="00FB31C9"/>
    <w:rsid w:val="00FB44AA"/>
    <w:rsid w:val="00FB451C"/>
    <w:rsid w:val="00FB557C"/>
    <w:rsid w:val="00FB5B0A"/>
    <w:rsid w:val="00FB6625"/>
    <w:rsid w:val="00FB727B"/>
    <w:rsid w:val="00FB7457"/>
    <w:rsid w:val="00FC1424"/>
    <w:rsid w:val="00FC242D"/>
    <w:rsid w:val="00FC56F4"/>
    <w:rsid w:val="00FC5807"/>
    <w:rsid w:val="00FC622E"/>
    <w:rsid w:val="00FC72C5"/>
    <w:rsid w:val="00FD0F21"/>
    <w:rsid w:val="00FD13B5"/>
    <w:rsid w:val="00FD265A"/>
    <w:rsid w:val="00FD2660"/>
    <w:rsid w:val="00FD2782"/>
    <w:rsid w:val="00FD4B0F"/>
    <w:rsid w:val="00FD5B92"/>
    <w:rsid w:val="00FD7EB8"/>
    <w:rsid w:val="00FE196E"/>
    <w:rsid w:val="00FE76F2"/>
    <w:rsid w:val="00FF1DE2"/>
    <w:rsid w:val="00FF21A0"/>
    <w:rsid w:val="00FF3767"/>
    <w:rsid w:val="00FF53E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ru v:ext="edit" colors="#004680,#0062b3,#800005,#fc0009,#40a8ff,#bfe2ff,#ff4046,#ffbfc1"/>
    </o:shapedefaults>
    <o:shapelayout v:ext="edit">
      <o:idmap v:ext="edit" data="1"/>
    </o:shapelayout>
  </w:shapeDefaults>
  <w:decimalSymbol w:val="."/>
  <w:listSeparator w:val=","/>
  <w14:docId w14:val="7EDDA400"/>
  <w15:docId w15:val="{95752F4B-91C1-4C12-8DA6-DC260BE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D9"/>
    <w:rPr>
      <w:sz w:val="24"/>
      <w:lang w:bidi="he-IL"/>
    </w:rPr>
  </w:style>
  <w:style w:type="paragraph" w:styleId="Heading1">
    <w:name w:val="heading 1"/>
    <w:basedOn w:val="Normal"/>
    <w:next w:val="BodyText"/>
    <w:qFormat/>
    <w:rsid w:val="00AC32F0"/>
    <w:pPr>
      <w:keepNext/>
      <w:numPr>
        <w:numId w:val="5"/>
      </w:numPr>
      <w:spacing w:before="120"/>
      <w:outlineLvl w:val="0"/>
    </w:pPr>
    <w:rPr>
      <w:rFonts w:ascii="Garamond" w:hAnsi="Garamond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BodyText"/>
    <w:qFormat/>
    <w:rsid w:val="00DE36BC"/>
    <w:pPr>
      <w:keepNext/>
      <w:numPr>
        <w:ilvl w:val="1"/>
        <w:numId w:val="5"/>
      </w:numPr>
      <w:spacing w:after="60"/>
      <w:outlineLvl w:val="1"/>
    </w:pPr>
    <w:rPr>
      <w:rFonts w:ascii="Garamond" w:hAnsi="Garamond"/>
      <w:bCs/>
      <w:iCs/>
      <w:kern w:val="32"/>
      <w:sz w:val="32"/>
      <w:szCs w:val="28"/>
      <w:lang w:bidi="ar-SA"/>
    </w:rPr>
  </w:style>
  <w:style w:type="paragraph" w:styleId="Heading3">
    <w:name w:val="heading 3"/>
    <w:basedOn w:val="Normal"/>
    <w:next w:val="BodyText"/>
    <w:qFormat/>
    <w:rsid w:val="00DE36BC"/>
    <w:pPr>
      <w:keepNext/>
      <w:numPr>
        <w:ilvl w:val="2"/>
        <w:numId w:val="5"/>
      </w:numPr>
      <w:spacing w:after="60"/>
      <w:outlineLvl w:val="2"/>
    </w:pPr>
    <w:rPr>
      <w:rFonts w:ascii="Garamond" w:hAnsi="Garamond" w:cs="Arial"/>
      <w:b/>
      <w:bCs/>
      <w:szCs w:val="26"/>
      <w:lang w:bidi="ar-SA"/>
    </w:rPr>
  </w:style>
  <w:style w:type="paragraph" w:styleId="Heading4">
    <w:name w:val="heading 4"/>
    <w:basedOn w:val="Normal"/>
    <w:next w:val="BodyText"/>
    <w:unhideWhenUsed/>
    <w:qFormat/>
    <w:rsid w:val="004C06E4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link w:val="Heading5Char"/>
    <w:unhideWhenUsed/>
    <w:qFormat/>
    <w:rsid w:val="004C06E4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unhideWhenUsed/>
    <w:qFormat/>
    <w:rsid w:val="004C06E4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unhideWhenUsed/>
    <w:qFormat/>
    <w:rsid w:val="004C06E4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unhideWhenUsed/>
    <w:qFormat/>
    <w:rsid w:val="004C06E4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BodyText"/>
    <w:unhideWhenUsed/>
    <w:qFormat/>
    <w:rsid w:val="004C06E4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C06E4"/>
    <w:rPr>
      <w:rFonts w:ascii="Cambria" w:hAnsi="Cambria"/>
      <w:color w:val="243F60"/>
      <w:sz w:val="24"/>
    </w:rPr>
  </w:style>
  <w:style w:type="paragraph" w:customStyle="1" w:styleId="Page1Title">
    <w:name w:val="Page 1 Title"/>
    <w:basedOn w:val="ReportTitle"/>
    <w:rsid w:val="00754BCC"/>
    <w:pPr>
      <w:keepNext/>
      <w:spacing w:after="240"/>
      <w:contextualSpacing/>
      <w:jc w:val="left"/>
    </w:pPr>
    <w:rPr>
      <w:rFonts w:ascii="Garamond" w:hAnsi="Garamond"/>
    </w:rPr>
  </w:style>
  <w:style w:type="paragraph" w:customStyle="1" w:styleId="ReportTitle">
    <w:name w:val="ReportTitle"/>
    <w:basedOn w:val="Normal"/>
    <w:rsid w:val="00654EF2"/>
    <w:pPr>
      <w:spacing w:before="120" w:after="60"/>
      <w:jc w:val="center"/>
      <w:outlineLvl w:val="0"/>
    </w:pPr>
    <w:rPr>
      <w:rFonts w:ascii="Arial" w:hAnsi="Arial" w:cs="Arial"/>
      <w:b/>
      <w:bCs/>
      <w:kern w:val="28"/>
      <w:sz w:val="52"/>
      <w:szCs w:val="32"/>
    </w:rPr>
  </w:style>
  <w:style w:type="character" w:customStyle="1" w:styleId="SecondaryIDChar">
    <w:name w:val="SecondaryID Char"/>
    <w:basedOn w:val="DefaultParagraphFont"/>
    <w:link w:val="SecondaryID"/>
    <w:rsid w:val="000176D0"/>
    <w:rPr>
      <w:rFonts w:ascii="Arial" w:hAnsi="Arial"/>
      <w:sz w:val="24"/>
      <w:szCs w:val="24"/>
      <w:lang w:val="en-US" w:eastAsia="en-US" w:bidi="ar-SA"/>
    </w:rPr>
  </w:style>
  <w:style w:type="paragraph" w:customStyle="1" w:styleId="SecondaryID">
    <w:name w:val="SecondaryID"/>
    <w:basedOn w:val="Normal"/>
    <w:link w:val="SecondaryIDChar"/>
    <w:rsid w:val="00F2501D"/>
    <w:rPr>
      <w:rFonts w:ascii="Arial" w:hAnsi="Arial"/>
    </w:rPr>
  </w:style>
  <w:style w:type="paragraph" w:customStyle="1" w:styleId="Authors">
    <w:name w:val="Authors"/>
    <w:basedOn w:val="Normal"/>
    <w:rsid w:val="00654EF2"/>
    <w:rPr>
      <w:rFonts w:ascii="Arial" w:hAnsi="Arial"/>
    </w:rPr>
  </w:style>
  <w:style w:type="paragraph" w:customStyle="1" w:styleId="ContactInfo">
    <w:name w:val="ContactInfo"/>
    <w:basedOn w:val="Normal"/>
    <w:rsid w:val="007F1EC2"/>
    <w:rPr>
      <w:rFonts w:ascii="Arial" w:hAnsi="Arial"/>
    </w:rPr>
  </w:style>
  <w:style w:type="paragraph" w:customStyle="1" w:styleId="ReportNumber">
    <w:name w:val="ReportNumber"/>
    <w:basedOn w:val="ContactInfo"/>
    <w:rsid w:val="00A207EB"/>
    <w:pPr>
      <w:jc w:val="center"/>
    </w:pPr>
  </w:style>
  <w:style w:type="paragraph" w:customStyle="1" w:styleId="WYSACLogo">
    <w:name w:val="WYSAC Logo"/>
    <w:basedOn w:val="Normal"/>
    <w:rsid w:val="00047FD7"/>
    <w:pPr>
      <w:jc w:val="center"/>
    </w:pPr>
    <w:rPr>
      <w:rFonts w:ascii="Arial" w:hAnsi="Arial"/>
    </w:rPr>
  </w:style>
  <w:style w:type="paragraph" w:customStyle="1" w:styleId="TOCTitle">
    <w:name w:val="TOC Title"/>
    <w:basedOn w:val="SecondaryID"/>
    <w:link w:val="TOCTitleChar"/>
    <w:rsid w:val="00BC1007"/>
    <w:pPr>
      <w:keepNext/>
    </w:pPr>
    <w:rPr>
      <w:rFonts w:ascii="Garamond" w:hAnsi="Garamond"/>
      <w:b/>
      <w:sz w:val="32"/>
    </w:rPr>
  </w:style>
  <w:style w:type="paragraph" w:styleId="Header">
    <w:name w:val="header"/>
    <w:basedOn w:val="Normal"/>
    <w:rsid w:val="00C7762F"/>
    <w:pPr>
      <w:tabs>
        <w:tab w:val="center" w:pos="4320"/>
        <w:tab w:val="right" w:pos="8640"/>
      </w:tabs>
    </w:pPr>
    <w:rPr>
      <w:rFonts w:ascii="Palatino Linotype" w:hAnsi="Palatino Linotype"/>
      <w:i/>
      <w:sz w:val="20"/>
    </w:rPr>
  </w:style>
  <w:style w:type="paragraph" w:customStyle="1" w:styleId="SectionHeading">
    <w:name w:val="Section Heading"/>
    <w:basedOn w:val="Heading1"/>
    <w:rsid w:val="005F4809"/>
    <w:rPr>
      <w:b w:val="0"/>
    </w:rPr>
  </w:style>
  <w:style w:type="character" w:styleId="Emphasis">
    <w:name w:val="Emphasis"/>
    <w:basedOn w:val="DefaultParagraphFont"/>
    <w:uiPriority w:val="20"/>
    <w:rsid w:val="00BC15CC"/>
    <w:rPr>
      <w:i/>
      <w:iCs/>
    </w:rPr>
  </w:style>
  <w:style w:type="character" w:customStyle="1" w:styleId="ListBullet2Char">
    <w:name w:val="List Bullet 2 Char"/>
    <w:basedOn w:val="DefaultParagraphFont"/>
    <w:link w:val="ListBullet2"/>
    <w:rsid w:val="006D2FA2"/>
    <w:rPr>
      <w:rFonts w:ascii="Garamond" w:hAnsi="Garamond"/>
      <w:sz w:val="24"/>
      <w:szCs w:val="24"/>
      <w:lang w:bidi="ar-SA"/>
    </w:rPr>
  </w:style>
  <w:style w:type="paragraph" w:styleId="ListBullet2">
    <w:name w:val="List Bullet 2"/>
    <w:basedOn w:val="ListBullet"/>
    <w:link w:val="ListBullet2Char"/>
    <w:rsid w:val="006D2FA2"/>
    <w:pPr>
      <w:numPr>
        <w:numId w:val="4"/>
      </w:numPr>
      <w:tabs>
        <w:tab w:val="num" w:pos="720"/>
      </w:tabs>
      <w:ind w:left="720"/>
    </w:pPr>
  </w:style>
  <w:style w:type="paragraph" w:customStyle="1" w:styleId="BlockQuotation">
    <w:name w:val="BlockQuotation"/>
    <w:basedOn w:val="Normal"/>
    <w:qFormat/>
    <w:rsid w:val="00DE36BC"/>
    <w:pPr>
      <w:spacing w:after="240"/>
      <w:ind w:left="1440" w:right="1440"/>
    </w:pPr>
    <w:rPr>
      <w:rFonts w:ascii="Garamond" w:hAnsi="Garamond"/>
      <w:szCs w:val="24"/>
      <w:lang w:bidi="ar-SA"/>
    </w:rPr>
  </w:style>
  <w:style w:type="paragraph" w:styleId="ListBullet">
    <w:name w:val="List Bullet"/>
    <w:basedOn w:val="Normal"/>
    <w:qFormat/>
    <w:rsid w:val="00DE36BC"/>
    <w:pPr>
      <w:numPr>
        <w:numId w:val="6"/>
      </w:numPr>
      <w:spacing w:after="240"/>
      <w:contextualSpacing/>
    </w:pPr>
    <w:rPr>
      <w:rFonts w:ascii="Garamond" w:hAnsi="Garamond"/>
      <w:szCs w:val="24"/>
      <w:lang w:bidi="ar-SA"/>
    </w:rPr>
  </w:style>
  <w:style w:type="paragraph" w:styleId="ListBullet3">
    <w:name w:val="List Bullet 3"/>
    <w:basedOn w:val="Normal"/>
    <w:rsid w:val="00DB33BF"/>
    <w:pPr>
      <w:numPr>
        <w:numId w:val="1"/>
      </w:numPr>
    </w:pPr>
  </w:style>
  <w:style w:type="paragraph" w:styleId="ListBullet4">
    <w:name w:val="List Bullet 4"/>
    <w:basedOn w:val="Normal"/>
    <w:rsid w:val="00DB33BF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485702"/>
    <w:pPr>
      <w:tabs>
        <w:tab w:val="num" w:pos="1800"/>
      </w:tabs>
      <w:ind w:left="1800" w:hanging="360"/>
    </w:pPr>
  </w:style>
  <w:style w:type="paragraph" w:styleId="Footer">
    <w:name w:val="footer"/>
    <w:basedOn w:val="Normal"/>
    <w:rsid w:val="00654EF2"/>
    <w:pPr>
      <w:tabs>
        <w:tab w:val="center" w:pos="4320"/>
        <w:tab w:val="right" w:pos="8640"/>
      </w:tabs>
      <w:jc w:val="center"/>
    </w:pPr>
    <w:rPr>
      <w:i/>
    </w:rPr>
  </w:style>
  <w:style w:type="paragraph" w:customStyle="1" w:styleId="TableColumnRowTitle">
    <w:name w:val="Table Column/Row Title"/>
    <w:basedOn w:val="Normal"/>
    <w:rsid w:val="00D75F23"/>
    <w:rPr>
      <w:rFonts w:ascii="Arial" w:hAnsi="Arial"/>
      <w:b/>
      <w:sz w:val="20"/>
    </w:rPr>
  </w:style>
  <w:style w:type="character" w:customStyle="1" w:styleId="TOCTitleChar">
    <w:name w:val="TOC Title Char"/>
    <w:basedOn w:val="SecondaryIDChar"/>
    <w:link w:val="TOCTitle"/>
    <w:rsid w:val="00BC1007"/>
    <w:rPr>
      <w:rFonts w:ascii="Garamond" w:hAnsi="Garamond"/>
      <w:b/>
      <w:sz w:val="32"/>
      <w:szCs w:val="24"/>
      <w:lang w:val="en-US" w:eastAsia="en-US" w:bidi="ar-SA"/>
    </w:rPr>
  </w:style>
  <w:style w:type="paragraph" w:customStyle="1" w:styleId="TableItems--Numerical">
    <w:name w:val="Table Items--Numerical"/>
    <w:basedOn w:val="Normal"/>
    <w:rsid w:val="002F00AD"/>
    <w:pPr>
      <w:jc w:val="right"/>
    </w:pPr>
    <w:rPr>
      <w:rFonts w:ascii="Arial" w:hAnsi="Arial"/>
      <w:sz w:val="20"/>
    </w:rPr>
  </w:style>
  <w:style w:type="paragraph" w:customStyle="1" w:styleId="TableItems--Non-Numerical">
    <w:name w:val="Table Items--Non-Numerical"/>
    <w:basedOn w:val="Normal"/>
    <w:rsid w:val="002F00AD"/>
    <w:rPr>
      <w:rFonts w:ascii="Arial" w:hAnsi="Arial"/>
      <w:sz w:val="20"/>
    </w:rPr>
  </w:style>
  <w:style w:type="paragraph" w:customStyle="1" w:styleId="TableFigureSource">
    <w:name w:val="Table/Figure Source"/>
    <w:basedOn w:val="Normal"/>
    <w:rsid w:val="00F2501D"/>
    <w:rPr>
      <w:rFonts w:ascii="Arial" w:hAnsi="Arial"/>
      <w:i/>
      <w:sz w:val="20"/>
    </w:rPr>
  </w:style>
  <w:style w:type="paragraph" w:customStyle="1" w:styleId="FigureItem">
    <w:name w:val="Figure Item"/>
    <w:basedOn w:val="Normal"/>
    <w:rsid w:val="00F2501D"/>
    <w:rPr>
      <w:rFonts w:ascii="Arial" w:hAnsi="Arial"/>
    </w:rPr>
  </w:style>
  <w:style w:type="numbering" w:customStyle="1" w:styleId="NumberedList1">
    <w:name w:val="Numbered List 1"/>
    <w:basedOn w:val="NoList"/>
    <w:rsid w:val="00C61CEC"/>
    <w:pPr>
      <w:numPr>
        <w:numId w:val="2"/>
      </w:numPr>
    </w:pPr>
  </w:style>
  <w:style w:type="paragraph" w:customStyle="1" w:styleId="Reference">
    <w:name w:val="Reference"/>
    <w:basedOn w:val="Normal"/>
    <w:link w:val="ReferenceChar"/>
    <w:qFormat/>
    <w:rsid w:val="00DE36BC"/>
    <w:pPr>
      <w:ind w:left="720" w:hanging="720"/>
    </w:pPr>
    <w:rPr>
      <w:rFonts w:ascii="Garamond" w:hAnsi="Garamond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qFormat/>
    <w:rsid w:val="002B3775"/>
    <w:pPr>
      <w:tabs>
        <w:tab w:val="left" w:pos="540"/>
        <w:tab w:val="right" w:leader="dot" w:pos="9350"/>
      </w:tabs>
      <w:ind w:left="540" w:right="720" w:hanging="54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717A71"/>
    <w:pPr>
      <w:tabs>
        <w:tab w:val="left" w:pos="990"/>
        <w:tab w:val="right" w:leader="dot" w:pos="9350"/>
      </w:tabs>
      <w:ind w:left="990" w:right="720" w:hanging="630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9F1F1A"/>
    <w:pPr>
      <w:tabs>
        <w:tab w:val="left" w:pos="1350"/>
        <w:tab w:val="right" w:leader="dot" w:pos="9350"/>
      </w:tabs>
      <w:ind w:left="135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rsid w:val="00AF011E"/>
    <w:pPr>
      <w:ind w:left="720"/>
    </w:pPr>
  </w:style>
  <w:style w:type="paragraph" w:styleId="TOC5">
    <w:name w:val="toc 5"/>
    <w:basedOn w:val="Normal"/>
    <w:next w:val="Normal"/>
    <w:autoRedefine/>
    <w:semiHidden/>
    <w:rsid w:val="00AF011E"/>
    <w:pPr>
      <w:ind w:left="960"/>
    </w:pPr>
  </w:style>
  <w:style w:type="character" w:styleId="Hyperlink">
    <w:name w:val="Hyperlink"/>
    <w:basedOn w:val="DefaultParagraphFont"/>
    <w:uiPriority w:val="99"/>
    <w:rsid w:val="00AF011E"/>
    <w:rPr>
      <w:color w:val="0000FF"/>
      <w:u w:val="single"/>
    </w:rPr>
  </w:style>
  <w:style w:type="paragraph" w:customStyle="1" w:styleId="TableFigureFootnote">
    <w:name w:val="Table/Figure Footnote"/>
    <w:basedOn w:val="FigureItem"/>
    <w:rsid w:val="00021368"/>
    <w:rPr>
      <w:sz w:val="20"/>
    </w:rPr>
  </w:style>
  <w:style w:type="character" w:customStyle="1" w:styleId="ReferenceChar">
    <w:name w:val="Reference Char"/>
    <w:basedOn w:val="DefaultParagraphFont"/>
    <w:link w:val="Reference"/>
    <w:rsid w:val="00DE36BC"/>
    <w:rPr>
      <w:rFonts w:ascii="Garamond" w:hAnsi="Garamond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F26DFF"/>
    <w:rPr>
      <w:sz w:val="16"/>
      <w:szCs w:val="16"/>
    </w:rPr>
  </w:style>
  <w:style w:type="paragraph" w:styleId="CommentText">
    <w:name w:val="annotation text"/>
    <w:basedOn w:val="Normal"/>
    <w:semiHidden/>
    <w:rsid w:val="00F26DF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6DFF"/>
    <w:rPr>
      <w:b/>
      <w:bCs/>
    </w:rPr>
  </w:style>
  <w:style w:type="paragraph" w:styleId="BalloonText">
    <w:name w:val="Balloon Text"/>
    <w:basedOn w:val="Normal"/>
    <w:semiHidden/>
    <w:rsid w:val="00F26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">
    <w:name w:val="Copyright"/>
    <w:basedOn w:val="ContactInfo"/>
    <w:rsid w:val="00654EF2"/>
  </w:style>
  <w:style w:type="paragraph" w:customStyle="1" w:styleId="TableTitle">
    <w:name w:val="Table Title"/>
    <w:basedOn w:val="TOCTitle"/>
    <w:link w:val="TableTitleChar"/>
    <w:rsid w:val="009331D9"/>
    <w:rPr>
      <w:rFonts w:ascii="Arial" w:hAnsi="Arial"/>
      <w:sz w:val="18"/>
    </w:rPr>
  </w:style>
  <w:style w:type="character" w:customStyle="1" w:styleId="TableTitleChar">
    <w:name w:val="Table Title Char"/>
    <w:basedOn w:val="TOCTitleChar"/>
    <w:link w:val="TableTitle"/>
    <w:rsid w:val="009331D9"/>
    <w:rPr>
      <w:rFonts w:ascii="Arial" w:hAnsi="Arial"/>
      <w:b/>
      <w:sz w:val="18"/>
      <w:szCs w:val="24"/>
      <w:lang w:val="en-US" w:eastAsia="en-US" w:bidi="he-IL"/>
    </w:rPr>
  </w:style>
  <w:style w:type="paragraph" w:customStyle="1" w:styleId="FigureTitle">
    <w:name w:val="Figure Title"/>
    <w:basedOn w:val="Normal"/>
    <w:rsid w:val="000F2366"/>
    <w:rPr>
      <w:rFonts w:ascii="Arial" w:hAnsi="Arial"/>
      <w:b/>
      <w:sz w:val="18"/>
    </w:rPr>
  </w:style>
  <w:style w:type="paragraph" w:styleId="TableofFigures">
    <w:name w:val="table of figures"/>
    <w:basedOn w:val="Normal"/>
    <w:next w:val="Normal"/>
    <w:uiPriority w:val="99"/>
    <w:rsid w:val="00BC1007"/>
    <w:pPr>
      <w:tabs>
        <w:tab w:val="right" w:leader="dot" w:pos="9360"/>
      </w:tabs>
      <w:ind w:right="720"/>
    </w:pPr>
  </w:style>
  <w:style w:type="paragraph" w:styleId="DocumentMap">
    <w:name w:val="Document Map"/>
    <w:basedOn w:val="Normal"/>
    <w:semiHidden/>
    <w:rsid w:val="00654EF2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lePageTitle">
    <w:name w:val="Title Page Title"/>
    <w:basedOn w:val="ReportTitle"/>
    <w:rsid w:val="00654EF2"/>
    <w:pPr>
      <w:jc w:val="left"/>
    </w:pPr>
    <w:rPr>
      <w:sz w:val="40"/>
    </w:rPr>
  </w:style>
  <w:style w:type="paragraph" w:customStyle="1" w:styleId="Citation">
    <w:name w:val="Citation"/>
    <w:basedOn w:val="Normal"/>
    <w:rsid w:val="00654EF2"/>
    <w:pPr>
      <w:autoSpaceDE w:val="0"/>
      <w:autoSpaceDN w:val="0"/>
      <w:adjustRightInd w:val="0"/>
    </w:pPr>
    <w:rPr>
      <w:rFonts w:ascii="Arial" w:hAnsi="Arial" w:cs="Courier New"/>
    </w:rPr>
  </w:style>
  <w:style w:type="character" w:styleId="PageNumber">
    <w:name w:val="page number"/>
    <w:basedOn w:val="DefaultParagraphFont"/>
    <w:rsid w:val="00933669"/>
  </w:style>
  <w:style w:type="paragraph" w:styleId="Caption">
    <w:name w:val="caption"/>
    <w:basedOn w:val="Normal"/>
    <w:next w:val="Normal"/>
    <w:qFormat/>
    <w:rsid w:val="00D671DC"/>
    <w:pPr>
      <w:keepNext/>
      <w:spacing w:line="480" w:lineRule="auto"/>
    </w:pPr>
    <w:rPr>
      <w:rFonts w:ascii="Arial" w:hAnsi="Arial" w:cs="Arial"/>
    </w:rPr>
  </w:style>
  <w:style w:type="paragraph" w:styleId="BodyText">
    <w:name w:val="Body Text"/>
    <w:basedOn w:val="Normal"/>
    <w:link w:val="BodyTextChar"/>
    <w:qFormat/>
    <w:rsid w:val="00DE36BC"/>
    <w:pPr>
      <w:spacing w:after="240"/>
    </w:pPr>
    <w:rPr>
      <w:rFonts w:ascii="Garamond" w:hAnsi="Garamond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6BC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NumberedList">
    <w:name w:val="Numbered List"/>
    <w:basedOn w:val="Normal"/>
    <w:qFormat/>
    <w:rsid w:val="00DE36BC"/>
    <w:pPr>
      <w:numPr>
        <w:numId w:val="7"/>
      </w:numPr>
      <w:spacing w:after="240"/>
      <w:contextualSpacing/>
    </w:pPr>
    <w:rPr>
      <w:rFonts w:ascii="Garamond" w:hAnsi="Garamond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E36BC"/>
    <w:rPr>
      <w:rFonts w:ascii="Garamond" w:hAnsi="Garamond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rsid w:val="00DE36BC"/>
    <w:pPr>
      <w:keepNext/>
      <w:spacing w:before="3360" w:line="480" w:lineRule="auto"/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DE36B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34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customStyle="1" w:styleId="Style1">
    <w:name w:val="Style1"/>
    <w:basedOn w:val="FigureTitle"/>
    <w:qFormat/>
    <w:rsid w:val="00C0523B"/>
    <w:pPr>
      <w:framePr w:hSpace="180" w:wrap="around" w:vAnchor="text" w:hAnchor="page" w:x="5430" w:y="112"/>
      <w:suppressOverlap/>
    </w:pPr>
  </w:style>
  <w:style w:type="paragraph" w:styleId="TOAHeading">
    <w:name w:val="toa heading"/>
    <w:basedOn w:val="Normal"/>
    <w:next w:val="Normal"/>
    <w:rsid w:val="00C0523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Style2">
    <w:name w:val="Style2"/>
    <w:basedOn w:val="TableTitle"/>
    <w:qFormat/>
    <w:rsid w:val="009331D9"/>
  </w:style>
  <w:style w:type="paragraph" w:styleId="FootnoteText">
    <w:name w:val="footnote text"/>
    <w:basedOn w:val="Normal"/>
    <w:link w:val="FootnoteTextChar"/>
    <w:rsid w:val="009833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833BD"/>
    <w:rPr>
      <w:lang w:bidi="he-IL"/>
    </w:rPr>
  </w:style>
  <w:style w:type="character" w:styleId="FootnoteReference">
    <w:name w:val="footnote reference"/>
    <w:basedOn w:val="DefaultParagraphFont"/>
    <w:rsid w:val="009833BD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CF7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Census-designated_pla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ent\Dropbox\SRC\Compliance%20Checks%202017\Report%20and%20Tables\Compliance%20Checks%20Graphs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ent\Dropbox\SRC\Compliance%20Checks%202017\Report%20and%20Tables\Compliance%20Checks%20Graphs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ent\Dropbox\SRC\Compliance%20Checks%202017\Report%20and%20Tables\Compliance%20Checks%20Graphs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488407699037621E-2"/>
          <c:y val="0.1859203286784987"/>
          <c:w val="0.88495603674540679"/>
          <c:h val="0.62030557280459808"/>
        </c:manualLayout>
      </c:layout>
      <c:lineChart>
        <c:grouping val="standard"/>
        <c:varyColors val="0"/>
        <c:ser>
          <c:idx val="0"/>
          <c:order val="0"/>
          <c:tx>
            <c:strRef>
              <c:f>'total checks'!$A$41</c:f>
              <c:strCache>
                <c:ptCount val="1"/>
                <c:pt idx="0">
                  <c:v>Alcohol</c:v>
                </c:pt>
              </c:strCache>
            </c:strRef>
          </c:tx>
          <c:spPr>
            <a:ln w="38100" cap="flat" cmpd="dbl" algn="ctr">
              <a:solidFill>
                <a:schemeClr val="accent3">
                  <a:lumMod val="50000"/>
                </a:schemeClr>
              </a:solidFill>
              <a:miter lim="800000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'total checks'!$B$40:$L$40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'total checks'!$B$41:$L$41</c:f>
              <c:numCache>
                <c:formatCode>General</c:formatCode>
                <c:ptCount val="11"/>
                <c:pt idx="0">
                  <c:v>1040</c:v>
                </c:pt>
                <c:pt idx="1">
                  <c:v>1133</c:v>
                </c:pt>
                <c:pt idx="2">
                  <c:v>1107</c:v>
                </c:pt>
                <c:pt idx="3">
                  <c:v>1207</c:v>
                </c:pt>
                <c:pt idx="4">
                  <c:v>1261</c:v>
                </c:pt>
                <c:pt idx="5">
                  <c:v>1398</c:v>
                </c:pt>
                <c:pt idx="6">
                  <c:v>1131</c:v>
                </c:pt>
                <c:pt idx="7">
                  <c:v>1243</c:v>
                </c:pt>
                <c:pt idx="8">
                  <c:v>1298</c:v>
                </c:pt>
                <c:pt idx="9">
                  <c:v>1496</c:v>
                </c:pt>
                <c:pt idx="10">
                  <c:v>1292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BB6-4CB9-A875-636E7D3839E4}"/>
            </c:ext>
          </c:extLst>
        </c:ser>
        <c:ser>
          <c:idx val="1"/>
          <c:order val="1"/>
          <c:tx>
            <c:strRef>
              <c:f>'total checks'!$A$42</c:f>
              <c:strCache>
                <c:ptCount val="1"/>
                <c:pt idx="0">
                  <c:v>Tobacco</c:v>
                </c:pt>
              </c:strCache>
            </c:strRef>
          </c:tx>
          <c:spPr>
            <a:ln w="38100" cap="flat" cmpd="dbl" algn="ctr">
              <a:solidFill>
                <a:schemeClr val="accent5">
                  <a:lumMod val="75000"/>
                </a:schemeClr>
              </a:solidFill>
              <a:miter lim="800000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'total checks'!$B$40:$L$40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'total checks'!$B$42:$L$42</c:f>
              <c:numCache>
                <c:formatCode>General</c:formatCode>
                <c:ptCount val="11"/>
                <c:pt idx="0">
                  <c:v>756</c:v>
                </c:pt>
                <c:pt idx="1">
                  <c:v>819</c:v>
                </c:pt>
                <c:pt idx="2">
                  <c:v>741</c:v>
                </c:pt>
                <c:pt idx="3">
                  <c:v>656</c:v>
                </c:pt>
                <c:pt idx="4">
                  <c:v>771</c:v>
                </c:pt>
                <c:pt idx="5">
                  <c:v>923</c:v>
                </c:pt>
                <c:pt idx="6">
                  <c:v>790</c:v>
                </c:pt>
                <c:pt idx="7">
                  <c:v>777</c:v>
                </c:pt>
                <c:pt idx="8">
                  <c:v>701</c:v>
                </c:pt>
                <c:pt idx="9">
                  <c:v>817</c:v>
                </c:pt>
                <c:pt idx="10">
                  <c:v>856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BB6-4CB9-A875-636E7D3839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61042016"/>
        <c:axId val="127902088"/>
      </c:lineChart>
      <c:catAx>
        <c:axId val="161042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7902088"/>
        <c:crosses val="autoZero"/>
        <c:auto val="1"/>
        <c:lblAlgn val="ctr"/>
        <c:lblOffset val="0"/>
        <c:noMultiLvlLbl val="0"/>
      </c:catAx>
      <c:valAx>
        <c:axId val="127902088"/>
        <c:scaling>
          <c:orientation val="minMax"/>
          <c:max val="1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042016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841819772528442"/>
          <c:y val="0.88653210791311554"/>
          <c:w val="0.31390419947506559"/>
          <c:h val="8.37059757006841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488407699037621E-2"/>
          <c:y val="0.14623749109542239"/>
          <c:w val="0.88495603674540679"/>
          <c:h val="0.64014681855997324"/>
        </c:manualLayout>
      </c:layout>
      <c:lineChart>
        <c:grouping val="standard"/>
        <c:varyColors val="0"/>
        <c:ser>
          <c:idx val="0"/>
          <c:order val="0"/>
          <c:tx>
            <c:strRef>
              <c:f>'total checks'!$A$18</c:f>
              <c:strCache>
                <c:ptCount val="1"/>
                <c:pt idx="0">
                  <c:v>Counties</c:v>
                </c:pt>
              </c:strCache>
            </c:strRef>
          </c:tx>
          <c:spPr>
            <a:ln w="38100" cap="flat" cmpd="dbl" algn="ctr">
              <a:solidFill>
                <a:srgbClr val="3B4A1E"/>
              </a:solidFill>
              <a:miter lim="800000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'total checks'!$B$17:$L$17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'total checks'!$B$18:$L$18</c:f>
              <c:numCache>
                <c:formatCode>General</c:formatCode>
                <c:ptCount val="11"/>
                <c:pt idx="0">
                  <c:v>16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18</c:v>
                </c:pt>
                <c:pt idx="5">
                  <c:v>19</c:v>
                </c:pt>
                <c:pt idx="6">
                  <c:v>17</c:v>
                </c:pt>
                <c:pt idx="7">
                  <c:v>18</c:v>
                </c:pt>
                <c:pt idx="8">
                  <c:v>18</c:v>
                </c:pt>
                <c:pt idx="9">
                  <c:v>18</c:v>
                </c:pt>
                <c:pt idx="10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2FC-4394-915B-09D2CA729C14}"/>
            </c:ext>
          </c:extLst>
        </c:ser>
        <c:ser>
          <c:idx val="1"/>
          <c:order val="1"/>
          <c:tx>
            <c:strRef>
              <c:f>'total checks'!$A$19</c:f>
              <c:strCache>
                <c:ptCount val="1"/>
                <c:pt idx="0">
                  <c:v>Municipalities</c:v>
                </c:pt>
              </c:strCache>
            </c:strRef>
          </c:tx>
          <c:spPr>
            <a:ln w="38100" cap="flat" cmpd="dbl" algn="ctr">
              <a:solidFill>
                <a:schemeClr val="bg2">
                  <a:lumMod val="50000"/>
                </a:schemeClr>
              </a:solidFill>
              <a:miter lim="800000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'total checks'!$B$17:$L$17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'total checks'!$B$19:$L$19</c:f>
              <c:numCache>
                <c:formatCode>General</c:formatCode>
                <c:ptCount val="11"/>
                <c:pt idx="0">
                  <c:v>31</c:v>
                </c:pt>
                <c:pt idx="1">
                  <c:v>40</c:v>
                </c:pt>
                <c:pt idx="2">
                  <c:v>50</c:v>
                </c:pt>
                <c:pt idx="3">
                  <c:v>49</c:v>
                </c:pt>
                <c:pt idx="4">
                  <c:v>44</c:v>
                </c:pt>
                <c:pt idx="5">
                  <c:v>52</c:v>
                </c:pt>
                <c:pt idx="6">
                  <c:v>42</c:v>
                </c:pt>
                <c:pt idx="7">
                  <c:v>45</c:v>
                </c:pt>
                <c:pt idx="8">
                  <c:v>40</c:v>
                </c:pt>
                <c:pt idx="9">
                  <c:v>58</c:v>
                </c:pt>
                <c:pt idx="10">
                  <c:v>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2FC-4394-915B-09D2CA729C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60330072"/>
        <c:axId val="160503968"/>
      </c:lineChart>
      <c:catAx>
        <c:axId val="160330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503968"/>
        <c:crosses val="autoZero"/>
        <c:auto val="1"/>
        <c:lblAlgn val="ctr"/>
        <c:lblOffset val="0"/>
        <c:noMultiLvlLbl val="0"/>
      </c:catAx>
      <c:valAx>
        <c:axId val="160503968"/>
        <c:scaling>
          <c:orientation val="minMax"/>
          <c:max val="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33007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841819772528442"/>
          <c:y val="0.88653210791311554"/>
          <c:w val="0.31390419947506559"/>
          <c:h val="8.37059757006841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488407699037621E-2"/>
          <c:y val="0.14623749109542239"/>
          <c:w val="0.88495603674540679"/>
          <c:h val="0.64014681855997324"/>
        </c:manualLayout>
      </c:layout>
      <c:lineChart>
        <c:grouping val="standard"/>
        <c:varyColors val="0"/>
        <c:ser>
          <c:idx val="0"/>
          <c:order val="0"/>
          <c:tx>
            <c:strRef>
              <c:f>'total checks'!$A$4</c:f>
              <c:strCache>
                <c:ptCount val="1"/>
                <c:pt idx="0">
                  <c:v>Counties</c:v>
                </c:pt>
              </c:strCache>
            </c:strRef>
          </c:tx>
          <c:spPr>
            <a:ln w="38100" cap="flat" cmpd="dbl" algn="ctr">
              <a:solidFill>
                <a:srgbClr val="1A4652"/>
              </a:solidFill>
              <a:miter lim="800000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'total checks'!$B$3:$L$3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'total checks'!$B$4:$L$4</c:f>
              <c:numCache>
                <c:formatCode>General</c:formatCode>
                <c:ptCount val="11"/>
                <c:pt idx="0">
                  <c:v>16</c:v>
                </c:pt>
                <c:pt idx="1">
                  <c:v>16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15</c:v>
                </c:pt>
                <c:pt idx="7">
                  <c:v>19</c:v>
                </c:pt>
                <c:pt idx="8">
                  <c:v>18</c:v>
                </c:pt>
                <c:pt idx="9">
                  <c:v>17</c:v>
                </c:pt>
                <c:pt idx="10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2D-433E-A177-BB2B54DA9BAE}"/>
            </c:ext>
          </c:extLst>
        </c:ser>
        <c:ser>
          <c:idx val="1"/>
          <c:order val="1"/>
          <c:tx>
            <c:strRef>
              <c:f>'total checks'!$A$5</c:f>
              <c:strCache>
                <c:ptCount val="1"/>
                <c:pt idx="0">
                  <c:v>Municipalities</c:v>
                </c:pt>
              </c:strCache>
            </c:strRef>
          </c:tx>
          <c:spPr>
            <a:ln w="38100" cap="flat" cmpd="dbl" algn="ctr">
              <a:solidFill>
                <a:schemeClr val="accent5">
                  <a:lumMod val="75000"/>
                </a:schemeClr>
              </a:solidFill>
              <a:miter lim="800000"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'total checks'!$B$3:$L$3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'total checks'!$B$5:$L$5</c:f>
              <c:numCache>
                <c:formatCode>General</c:formatCode>
                <c:ptCount val="11"/>
                <c:pt idx="0">
                  <c:v>26</c:v>
                </c:pt>
                <c:pt idx="1">
                  <c:v>33</c:v>
                </c:pt>
                <c:pt idx="2">
                  <c:v>30</c:v>
                </c:pt>
                <c:pt idx="3">
                  <c:v>38</c:v>
                </c:pt>
                <c:pt idx="4">
                  <c:v>33</c:v>
                </c:pt>
                <c:pt idx="5">
                  <c:v>46</c:v>
                </c:pt>
                <c:pt idx="6">
                  <c:v>34</c:v>
                </c:pt>
                <c:pt idx="7">
                  <c:v>32</c:v>
                </c:pt>
                <c:pt idx="8">
                  <c:v>37</c:v>
                </c:pt>
                <c:pt idx="9">
                  <c:v>40</c:v>
                </c:pt>
                <c:pt idx="10">
                  <c:v>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2D-433E-A177-BB2B54DA9B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60369032"/>
        <c:axId val="160435248"/>
      </c:lineChart>
      <c:catAx>
        <c:axId val="1603690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435248"/>
        <c:crosses val="autoZero"/>
        <c:auto val="1"/>
        <c:lblAlgn val="ctr"/>
        <c:lblOffset val="0"/>
        <c:noMultiLvlLbl val="0"/>
      </c:catAx>
      <c:valAx>
        <c:axId val="160435248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36903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3841819772528442"/>
          <c:y val="0.88653210791311554"/>
          <c:w val="0.29682254301545641"/>
          <c:h val="8.37059757006841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0.03333</cdr:x>
      <cdr:y>0</cdr:y>
    </cdr:from>
    <cdr:to>
      <cdr:x>0.99583</cdr:x>
      <cdr:y>0.17253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400" y="0"/>
          <a:ext cx="4400550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 rtl="0" eaLnBrk="1" fontAlgn="auto" latinLnBrk="0" hangingPunct="1"/>
          <a:r>
            <a:rPr lang="en-US" sz="1400" b="1" i="0" baseline="0">
              <a:effectLst/>
              <a:latin typeface="+mn-lt"/>
              <a:ea typeface="+mn-ea"/>
              <a:cs typeface="+mn-cs"/>
            </a:rPr>
            <a:t>Total Number of Compliance Checks </a:t>
          </a:r>
        </a:p>
        <a:p xmlns:a="http://schemas.openxmlformats.org/drawingml/2006/main">
          <a:pPr algn="ctr" rtl="0" eaLnBrk="1" fontAlgn="auto" latinLnBrk="0" hangingPunct="1"/>
          <a:r>
            <a:rPr lang="en-US" sz="1100" b="1" i="0" baseline="0">
              <a:effectLst/>
              <a:latin typeface="+mn-lt"/>
              <a:ea typeface="+mn-ea"/>
              <a:cs typeface="+mn-cs"/>
            </a:rPr>
            <a:t>2007 – 2017</a:t>
          </a:r>
          <a:endParaRPr lang="en-US" sz="1100">
            <a:effectLst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0.03333</cdr:x>
      <cdr:y>0</cdr:y>
    </cdr:from>
    <cdr:to>
      <cdr:x>0.99583</cdr:x>
      <cdr:y>0.17253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400" y="0"/>
          <a:ext cx="4400550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 rtl="0" eaLnBrk="1" fontAlgn="auto" latinLnBrk="0" hangingPunct="1"/>
          <a:r>
            <a:rPr lang="en-US" sz="1400" b="1" i="0" baseline="0">
              <a:effectLst/>
              <a:latin typeface="+mn-lt"/>
              <a:ea typeface="+mn-ea"/>
              <a:cs typeface="+mn-cs"/>
            </a:rPr>
            <a:t>Number of Regions Submitting Alcohol Compliance Checks </a:t>
          </a:r>
          <a:r>
            <a:rPr lang="en-US" sz="1100" b="1" i="0" baseline="0">
              <a:effectLst/>
              <a:latin typeface="+mn-lt"/>
              <a:ea typeface="+mn-ea"/>
              <a:cs typeface="+mn-cs"/>
            </a:rPr>
            <a:t/>
          </a:r>
          <a:br>
            <a:rPr lang="en-US" sz="1100" b="1" i="0" baseline="0">
              <a:effectLst/>
              <a:latin typeface="+mn-lt"/>
              <a:ea typeface="+mn-ea"/>
              <a:cs typeface="+mn-cs"/>
            </a:rPr>
          </a:br>
          <a:r>
            <a:rPr lang="en-US" sz="1100" b="1" i="0" baseline="0">
              <a:effectLst/>
              <a:latin typeface="+mn-lt"/>
              <a:ea typeface="+mn-ea"/>
              <a:cs typeface="+mn-cs"/>
            </a:rPr>
            <a:t>2007 – 2017</a:t>
          </a:r>
          <a:endParaRPr lang="en-US" sz="1100">
            <a:effectLst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0.03333</cdr:x>
      <cdr:y>0</cdr:y>
    </cdr:from>
    <cdr:to>
      <cdr:x>0.99583</cdr:x>
      <cdr:y>0.17253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400" y="0"/>
          <a:ext cx="4400550" cy="5048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 rtl="0" eaLnBrk="1" fontAlgn="auto" latinLnBrk="0" hangingPunct="1"/>
          <a:r>
            <a:rPr lang="en-US" sz="1400" b="1" i="0" baseline="0">
              <a:effectLst/>
              <a:latin typeface="+mn-lt"/>
              <a:ea typeface="+mn-ea"/>
              <a:cs typeface="+mn-cs"/>
            </a:rPr>
            <a:t>Number of Regions Submitting Tobacco Compliance Checks </a:t>
          </a:r>
          <a:r>
            <a:rPr lang="en-US" sz="1100" b="1" i="0" baseline="0">
              <a:effectLst/>
              <a:latin typeface="+mn-lt"/>
              <a:ea typeface="+mn-ea"/>
              <a:cs typeface="+mn-cs"/>
            </a:rPr>
            <a:t/>
          </a:r>
          <a:br>
            <a:rPr lang="en-US" sz="1100" b="1" i="0" baseline="0">
              <a:effectLst/>
              <a:latin typeface="+mn-lt"/>
              <a:ea typeface="+mn-ea"/>
              <a:cs typeface="+mn-cs"/>
            </a:rPr>
          </a:br>
          <a:r>
            <a:rPr lang="en-US" sz="1100" b="1" i="0" baseline="0">
              <a:effectLst/>
              <a:latin typeface="+mn-lt"/>
              <a:ea typeface="+mn-ea"/>
              <a:cs typeface="+mn-cs"/>
            </a:rPr>
            <a:t>2007 – 2017</a:t>
          </a:r>
          <a:endParaRPr lang="en-US" sz="1100">
            <a:effectLst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B77F-5B1E-484B-9597-A5AC58A9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16</Pages>
  <Words>3621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23281</CharactersWithSpaces>
  <SharedDoc>false</SharedDoc>
  <HLinks>
    <vt:vector size="66" baseType="variant"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_Toc212529086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_Toc212529085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_Toc212529084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_Toc212529083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_Toc212620919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_Toc212620918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_Toc212620917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_Toc212620916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_Toc212620915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_Toc212620914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_Toc212620913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Holder</dc:creator>
  <cp:lastModifiedBy>Bistra B. Anatchkova</cp:lastModifiedBy>
  <cp:revision>58</cp:revision>
  <cp:lastPrinted>2018-01-03T18:59:00Z</cp:lastPrinted>
  <dcterms:created xsi:type="dcterms:W3CDTF">2016-10-22T21:13:00Z</dcterms:created>
  <dcterms:modified xsi:type="dcterms:W3CDTF">2018-01-08T16:28:00Z</dcterms:modified>
</cp:coreProperties>
</file>